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E0455B">
        <w:rPr>
          <w:b/>
          <w:sz w:val="28"/>
          <w:szCs w:val="28"/>
        </w:rPr>
        <w:t>С 28.01.2024 введен новый индикатор риска нарушения обязательных требований в отношении электрической энергии</w:t>
      </w:r>
      <w:r>
        <w:rPr>
          <w:b/>
          <w:sz w:val="28"/>
          <w:szCs w:val="28"/>
        </w:rPr>
        <w:t>»</w:t>
      </w:r>
    </w:p>
    <w:p w:rsidR="00AC789A" w:rsidRPr="00E0455B" w:rsidRDefault="00AC789A" w:rsidP="00E045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455B" w:rsidRPr="00E0455B" w:rsidRDefault="00E0455B" w:rsidP="00E045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55B">
        <w:rPr>
          <w:sz w:val="28"/>
          <w:szCs w:val="28"/>
        </w:rPr>
        <w:t>Приказом Министерства промышленности и торговли Российской Федерации от 16 ноября 2023 года № 4368 утвержден новый индикатор риска нарушения обязательных требований в отношении электрической энергии в электрических сетях общего назначения переменного трехфазного и однофазного тока частотой 50 Гц.</w:t>
      </w:r>
    </w:p>
    <w:p w:rsidR="00E0455B" w:rsidRPr="00E0455B" w:rsidRDefault="00E0455B" w:rsidP="00E045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55B">
        <w:rPr>
          <w:sz w:val="28"/>
          <w:szCs w:val="28"/>
        </w:rPr>
        <w:t xml:space="preserve">Таким индикатором теперь является выявление Федеральным агентством по техническому регулированию и метрологии на основе информации, подлежащей раскрытию сетевой организацией, 50 и более случаев (фактов) в квартал аварийного отключения электрической энергии по причине использования изношенных (устаревших) элементов (оборудования) объектов </w:t>
      </w:r>
      <w:proofErr w:type="spellStart"/>
      <w:r w:rsidRPr="00E0455B">
        <w:rPr>
          <w:sz w:val="28"/>
          <w:szCs w:val="28"/>
        </w:rPr>
        <w:t>электросетевого</w:t>
      </w:r>
      <w:proofErr w:type="spellEnd"/>
      <w:r w:rsidRPr="00E0455B">
        <w:rPr>
          <w:sz w:val="28"/>
          <w:szCs w:val="28"/>
        </w:rPr>
        <w:t xml:space="preserve"> хозяйства.</w:t>
      </w:r>
    </w:p>
    <w:p w:rsidR="00E0455B" w:rsidRPr="00E0455B" w:rsidRDefault="00E0455B" w:rsidP="00E045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55B">
        <w:rPr>
          <w:sz w:val="28"/>
          <w:szCs w:val="28"/>
        </w:rPr>
        <w:t>Ранее действовавший приказ Министерства промышленности и торговли Российской Федерации от 24 декабря 2021 года № 5362 признается утратившим силу.</w:t>
      </w:r>
    </w:p>
    <w:p w:rsidR="001C15E7" w:rsidRPr="006713EA" w:rsidRDefault="001C15E7" w:rsidP="00671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DB9" w:rsidRDefault="00E41DB9">
      <w:r>
        <w:separator/>
      </w:r>
    </w:p>
  </w:endnote>
  <w:endnote w:type="continuationSeparator" w:id="0">
    <w:p w:rsidR="00E41DB9" w:rsidRDefault="00E4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DB9" w:rsidRDefault="00E41DB9">
      <w:r>
        <w:separator/>
      </w:r>
    </w:p>
  </w:footnote>
  <w:footnote w:type="continuationSeparator" w:id="0">
    <w:p w:rsidR="00E41DB9" w:rsidRDefault="00E41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455B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41DB9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4B3D4-61E7-45FC-BBA7-6E941E85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2024-02-03T10:55:00Z</dcterms:created>
  <dcterms:modified xsi:type="dcterms:W3CDTF">2024-02-03T10:55:00Z</dcterms:modified>
</cp:coreProperties>
</file>