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45" w:rsidRDefault="00A86945" w:rsidP="00A8694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>
        <w:rPr>
          <w:b/>
          <w:i/>
          <w:sz w:val="28"/>
          <w:szCs w:val="28"/>
        </w:rPr>
        <w:t>ПРОЕКТ</w:t>
      </w:r>
    </w:p>
    <w:p w:rsidR="00A86945" w:rsidRDefault="00A86945" w:rsidP="00A86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86945" w:rsidRDefault="00A86945" w:rsidP="00A86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A86945" w:rsidRDefault="00A86945" w:rsidP="00A86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A86945" w:rsidRDefault="00A86945" w:rsidP="00A86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86945" w:rsidRDefault="00A86945" w:rsidP="00A86945">
      <w:pPr>
        <w:jc w:val="both"/>
        <w:rPr>
          <w:b/>
          <w:sz w:val="28"/>
          <w:szCs w:val="28"/>
        </w:rPr>
      </w:pPr>
    </w:p>
    <w:p w:rsidR="00A86945" w:rsidRDefault="00A86945" w:rsidP="00A86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6945" w:rsidRDefault="00A86945" w:rsidP="00A86945">
      <w:pPr>
        <w:jc w:val="center"/>
        <w:rPr>
          <w:b/>
          <w:sz w:val="28"/>
          <w:szCs w:val="28"/>
        </w:rPr>
      </w:pPr>
    </w:p>
    <w:p w:rsidR="00A86945" w:rsidRDefault="00A86945" w:rsidP="00A86945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______________ 2023 года  № </w:t>
      </w:r>
    </w:p>
    <w:p w:rsidR="00A86945" w:rsidRDefault="00A86945" w:rsidP="00A86945">
      <w:pPr>
        <w:jc w:val="center"/>
        <w:rPr>
          <w:spacing w:val="-8"/>
          <w:sz w:val="28"/>
          <w:szCs w:val="28"/>
        </w:rPr>
      </w:pPr>
    </w:p>
    <w:p w:rsidR="00A86945" w:rsidRDefault="00A86945" w:rsidP="00A869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83550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</w:p>
    <w:p w:rsidR="00A86945" w:rsidRDefault="00A86945" w:rsidP="00A8694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86945" w:rsidRPr="00A86945" w:rsidRDefault="00A86945" w:rsidP="00A86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в соответствии с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A86945">
        <w:rPr>
          <w:sz w:val="28"/>
          <w:szCs w:val="28"/>
        </w:rPr>
        <w:t>ПОСТАНОВЛЯЕТ:</w:t>
      </w:r>
      <w:proofErr w:type="gramEnd"/>
    </w:p>
    <w:p w:rsidR="00A86945" w:rsidRDefault="00A86945" w:rsidP="00A86945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86945" w:rsidRDefault="00A86945" w:rsidP="00A8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 предоставлению муниципальной услуги «</w:t>
      </w:r>
      <w:r w:rsidRPr="00A86945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A86945" w:rsidRPr="00A86945" w:rsidRDefault="00A86945" w:rsidP="00A86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945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МО Калитинское сельское поселение от 20.01.2023 № 18 «Об утверждении а</w:t>
      </w:r>
      <w:r w:rsidRPr="00A86945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A86945">
        <w:rPr>
          <w:rFonts w:ascii="Times New Roman" w:hAnsi="Times New Roman" w:cs="Times New Roman"/>
          <w:b w:val="0"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86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6945" w:rsidRDefault="00A86945" w:rsidP="00A86945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A86945" w:rsidRDefault="00A86945" w:rsidP="00A86945">
      <w:pPr>
        <w:jc w:val="both"/>
        <w:rPr>
          <w:sz w:val="28"/>
          <w:szCs w:val="28"/>
        </w:rPr>
      </w:pPr>
    </w:p>
    <w:p w:rsidR="00A86945" w:rsidRDefault="00A86945" w:rsidP="00A86945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A86945" w:rsidRDefault="00A86945" w:rsidP="00A86945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A86945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A86945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постановлению администрации</w:t>
      </w:r>
    </w:p>
    <w:p w:rsidR="00A86945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муниципального образования </w:t>
      </w:r>
    </w:p>
    <w:p w:rsidR="00A86945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Калитинское сельское поселение </w:t>
      </w:r>
    </w:p>
    <w:p w:rsidR="00A86945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>
        <w:rPr>
          <w:bCs/>
        </w:rPr>
        <w:t>Волосовского</w:t>
      </w:r>
      <w:proofErr w:type="spellEnd"/>
      <w:r>
        <w:rPr>
          <w:bCs/>
        </w:rPr>
        <w:t xml:space="preserve"> муниципального района </w:t>
      </w:r>
    </w:p>
    <w:p w:rsidR="00A86945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A86945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_______ 2023   № ___        </w:t>
      </w:r>
    </w:p>
    <w:p w:rsidR="00A86945" w:rsidRDefault="00A86945" w:rsidP="00A869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6945" w:rsidRDefault="00A86945" w:rsidP="00A86945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86945" w:rsidRPr="00A86945" w:rsidRDefault="00A86945" w:rsidP="00A869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A86945">
        <w:rPr>
          <w:rFonts w:ascii="Times New Roman" w:hAnsi="Times New Roman" w:cs="Times New Roman"/>
          <w:b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A32AC2" w:rsidRDefault="00A32AC2"/>
    <w:p w:rsidR="00A86945" w:rsidRPr="00683550" w:rsidRDefault="00A86945" w:rsidP="00A86945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A86945" w:rsidRPr="00683550" w:rsidRDefault="00A86945" w:rsidP="00A86945">
      <w:pPr>
        <w:rPr>
          <w:bCs/>
          <w:sz w:val="28"/>
          <w:szCs w:val="28"/>
        </w:rPr>
      </w:pPr>
      <w:bookmarkStart w:id="0" w:name="sub_1001"/>
    </w:p>
    <w:p w:rsidR="00A86945" w:rsidRPr="00683550" w:rsidRDefault="00A86945" w:rsidP="00A86945">
      <w:pPr>
        <w:pStyle w:val="a3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Общие положения</w:t>
      </w:r>
    </w:p>
    <w:bookmarkEnd w:id="0"/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A86945" w:rsidRPr="00683550" w:rsidRDefault="00A86945" w:rsidP="00A86945">
      <w:pPr>
        <w:pStyle w:val="a3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683550">
        <w:rPr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муниципальной услуги.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lastRenderedPageBreak/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="006E78F0">
        <w:rPr>
          <w:sz w:val="28"/>
          <w:szCs w:val="28"/>
        </w:rPr>
        <w:t>.</w:t>
      </w:r>
      <w:proofErr w:type="gramEnd"/>
    </w:p>
    <w:p w:rsidR="00A86945" w:rsidRPr="00683550" w:rsidRDefault="00A86945" w:rsidP="00A869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A86945" w:rsidRPr="00683550" w:rsidRDefault="00A86945" w:rsidP="00A869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A86945" w:rsidRPr="00683550" w:rsidRDefault="00A86945" w:rsidP="00A869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A86945" w:rsidRPr="00683550" w:rsidRDefault="00A86945" w:rsidP="00A869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A86945" w:rsidRPr="00683550" w:rsidRDefault="00A86945" w:rsidP="00A869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A86945" w:rsidRPr="005A169A" w:rsidRDefault="00A86945" w:rsidP="00A869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 от имени юридических лиц: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A86945" w:rsidRPr="00D003B0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A86945" w:rsidRPr="00683550" w:rsidRDefault="00A86945" w:rsidP="00A86945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6E78F0">
        <w:rPr>
          <w:sz w:val="28"/>
          <w:szCs w:val="28"/>
        </w:rPr>
        <w:t xml:space="preserve">Калитинское сельское поселение </w:t>
      </w:r>
      <w:proofErr w:type="spellStart"/>
      <w:r w:rsidR="006E78F0">
        <w:rPr>
          <w:sz w:val="28"/>
          <w:szCs w:val="28"/>
        </w:rPr>
        <w:t>Волосовского</w:t>
      </w:r>
      <w:proofErr w:type="spellEnd"/>
      <w:r w:rsidR="006E78F0">
        <w:rPr>
          <w:sz w:val="28"/>
          <w:szCs w:val="28"/>
        </w:rPr>
        <w:t xml:space="preserve"> муниципального района Ленинградской области</w:t>
      </w:r>
      <w:r w:rsidRPr="0068355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A86945" w:rsidRPr="00683550" w:rsidRDefault="00A86945" w:rsidP="00A86945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A86945" w:rsidRDefault="00A86945" w:rsidP="00A86945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 сайте администрации</w:t>
      </w:r>
      <w:r>
        <w:rPr>
          <w:sz w:val="28"/>
          <w:szCs w:val="28"/>
        </w:rPr>
        <w:t xml:space="preserve"> </w:t>
      </w:r>
      <w:hyperlink r:id="rId7" w:history="1">
        <w:r w:rsidRPr="004C4A67">
          <w:rPr>
            <w:rStyle w:val="af9"/>
            <w:sz w:val="28"/>
            <w:szCs w:val="28"/>
          </w:rPr>
          <w:t>http://калитинское.рф</w:t>
        </w:r>
      </w:hyperlink>
      <w:r>
        <w:rPr>
          <w:sz w:val="28"/>
          <w:szCs w:val="28"/>
        </w:rPr>
        <w:t>;</w:t>
      </w:r>
    </w:p>
    <w:p w:rsidR="00A86945" w:rsidRPr="00683550" w:rsidRDefault="00A86945" w:rsidP="00A86945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sz w:val="28"/>
          <w:szCs w:val="28"/>
        </w:rPr>
        <w:br/>
        <w:t>и муниципальных услуг» (далее - ГБУ ЛО «МФЦ»): http://mfc47.ru/;</w:t>
      </w:r>
    </w:p>
    <w:p w:rsidR="00A86945" w:rsidRPr="00683550" w:rsidRDefault="00A86945" w:rsidP="00A86945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sz w:val="28"/>
          <w:szCs w:val="28"/>
        </w:rPr>
        <w:t>www.gu.lenobl.ru</w:t>
      </w:r>
      <w:proofErr w:type="spellEnd"/>
      <w:r w:rsidRPr="00683550">
        <w:rPr>
          <w:sz w:val="28"/>
          <w:szCs w:val="28"/>
        </w:rPr>
        <w:t xml:space="preserve">/ </w:t>
      </w:r>
      <w:hyperlink r:id="rId8" w:history="1">
        <w:r w:rsidRPr="00683550">
          <w:rPr>
            <w:sz w:val="28"/>
            <w:szCs w:val="28"/>
          </w:rPr>
          <w:t>www.gosuslugi.ru</w:t>
        </w:r>
      </w:hyperlink>
      <w:r w:rsidRPr="00683550">
        <w:rPr>
          <w:sz w:val="28"/>
          <w:szCs w:val="28"/>
        </w:rPr>
        <w:t>.</w:t>
      </w:r>
    </w:p>
    <w:p w:rsidR="00A86945" w:rsidRPr="00683550" w:rsidRDefault="00A86945" w:rsidP="00A86945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A86945" w:rsidRPr="00683550" w:rsidRDefault="00A86945" w:rsidP="00A86945">
      <w:pPr>
        <w:pStyle w:val="a3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86945" w:rsidRPr="00683550" w:rsidRDefault="00A86945" w:rsidP="00A86945">
      <w:pPr>
        <w:pStyle w:val="a3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A86945" w:rsidRPr="00683550" w:rsidRDefault="00A86945" w:rsidP="00A86945">
      <w:pPr>
        <w:pStyle w:val="a3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86945" w:rsidRPr="00683550" w:rsidRDefault="00A86945" w:rsidP="00A86945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86945" w:rsidRPr="00683550" w:rsidRDefault="00A86945" w:rsidP="00A86945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86945" w:rsidRPr="00683550" w:rsidRDefault="00A86945" w:rsidP="00A86945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lastRenderedPageBreak/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</w:t>
      </w:r>
      <w:r>
        <w:rPr>
          <w:sz w:val="28"/>
          <w:szCs w:val="28"/>
        </w:rPr>
        <w:t xml:space="preserve">администрация муниципальное образование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 (далее – администрация)</w:t>
      </w:r>
      <w:r w:rsidRPr="00FA34D8">
        <w:rPr>
          <w:sz w:val="28"/>
          <w:szCs w:val="28"/>
        </w:rPr>
        <w:t xml:space="preserve"> (далее – администрация).</w:t>
      </w:r>
    </w:p>
    <w:p w:rsidR="00A86945" w:rsidRPr="00683550" w:rsidRDefault="00A86945" w:rsidP="00A86945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A86945" w:rsidRPr="00683550" w:rsidRDefault="00A86945" w:rsidP="00A869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A86945" w:rsidRDefault="00A86945" w:rsidP="00A869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5A3E92">
        <w:rPr>
          <w:rFonts w:eastAsia="Calibr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</w:t>
      </w:r>
      <w:r w:rsidRPr="005A3E92">
        <w:rPr>
          <w:rFonts w:eastAsia="Calibri"/>
          <w:sz w:val="28"/>
          <w:szCs w:val="28"/>
        </w:rPr>
        <w:lastRenderedPageBreak/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>
        <w:rPr>
          <w:rFonts w:eastAsia="Calibri"/>
          <w:sz w:val="28"/>
          <w:szCs w:val="28"/>
        </w:rPr>
        <w:t xml:space="preserve"> </w:t>
      </w:r>
      <w:r w:rsidRPr="005A3E92">
        <w:rPr>
          <w:rFonts w:eastAsia="Calibri"/>
          <w:sz w:val="28"/>
          <w:szCs w:val="28"/>
        </w:rPr>
        <w:t xml:space="preserve">МФЦ </w:t>
      </w:r>
      <w:r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Pr="006E78F0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6E78F0">
        <w:rPr>
          <w:rFonts w:eastAsia="Calibri"/>
          <w:sz w:val="28"/>
          <w:szCs w:val="28"/>
        </w:rPr>
        <w:t xml:space="preserve"> и муниципальных услуг» (при наличии технической возможности).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A86945" w:rsidRPr="005A169A" w:rsidRDefault="00A86945" w:rsidP="00A86945">
      <w:pPr>
        <w:pStyle w:val="a3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4E62">
        <w:rPr>
          <w:sz w:val="28"/>
          <w:szCs w:val="28"/>
        </w:rPr>
        <w:t xml:space="preserve">решение о признании (об отказе в признании) помещения жилым </w:t>
      </w:r>
      <w:r w:rsidRPr="005A169A">
        <w:rPr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A86945" w:rsidRPr="005A169A" w:rsidRDefault="00A86945" w:rsidP="00A86945">
      <w:pPr>
        <w:pStyle w:val="a3"/>
        <w:widowControl w:val="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возврат заявление документов на получение услуги без рассмотрения.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</w:t>
      </w:r>
      <w:r w:rsidRPr="005A169A">
        <w:rPr>
          <w:sz w:val="28"/>
          <w:szCs w:val="28"/>
        </w:rPr>
        <w:lastRenderedPageBreak/>
        <w:t>наличии технической возможности).</w:t>
      </w:r>
    </w:p>
    <w:p w:rsidR="00A86945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34 </w:t>
      </w:r>
      <w:proofErr w:type="gramStart"/>
      <w:r w:rsidRPr="005A169A">
        <w:rPr>
          <w:sz w:val="28"/>
          <w:szCs w:val="28"/>
        </w:rPr>
        <w:t>календарных</w:t>
      </w:r>
      <w:proofErr w:type="gramEnd"/>
      <w:r w:rsidRPr="005A169A">
        <w:rPr>
          <w:sz w:val="28"/>
          <w:szCs w:val="28"/>
        </w:rPr>
        <w:t xml:space="preserve"> дня с даты поступления (регистрации) заявления в администрацию.</w:t>
      </w:r>
    </w:p>
    <w:p w:rsidR="00A86945" w:rsidRPr="00683550" w:rsidRDefault="00A86945" w:rsidP="00A86945">
      <w:pPr>
        <w:widowControl w:val="0"/>
        <w:ind w:firstLine="709"/>
        <w:jc w:val="both"/>
        <w:rPr>
          <w:sz w:val="28"/>
          <w:szCs w:val="28"/>
        </w:rPr>
      </w:pP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A86945" w:rsidRPr="00683550" w:rsidRDefault="00A86945" w:rsidP="00A86945">
      <w:pPr>
        <w:pStyle w:val="a3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Жилищный кодекс Российской Федерации; </w:t>
      </w:r>
    </w:p>
    <w:p w:rsidR="00A86945" w:rsidRPr="00683550" w:rsidRDefault="00A86945" w:rsidP="00A86945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sz w:val="28"/>
          <w:szCs w:val="28"/>
        </w:rPr>
        <w:t xml:space="preserve"> (далее – Положение</w:t>
      </w:r>
      <w:r>
        <w:rPr>
          <w:sz w:val="28"/>
          <w:szCs w:val="28"/>
        </w:rPr>
        <w:t>, ПП РФ</w:t>
      </w:r>
      <w:r w:rsidRPr="00591758">
        <w:rPr>
          <w:sz w:val="28"/>
          <w:szCs w:val="28"/>
        </w:rPr>
        <w:t xml:space="preserve"> от 28.01.2006 № 47)</w:t>
      </w:r>
      <w:r w:rsidRPr="00683550">
        <w:rPr>
          <w:sz w:val="28"/>
          <w:szCs w:val="28"/>
        </w:rPr>
        <w:t>;</w:t>
      </w:r>
    </w:p>
    <w:p w:rsidR="00A86945" w:rsidRPr="00683550" w:rsidRDefault="00A86945" w:rsidP="00A86945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A86945" w:rsidRDefault="00A86945" w:rsidP="00A86945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sz w:val="28"/>
          <w:szCs w:val="28"/>
        </w:rPr>
        <w:br/>
        <w:t>№ 649 «О мерах по приспособлению жилых помещений и общего имущества в многоквартирном доме с</w:t>
      </w:r>
      <w:r>
        <w:rPr>
          <w:sz w:val="28"/>
          <w:szCs w:val="28"/>
        </w:rPr>
        <w:t xml:space="preserve"> учетом потребностей инвалидов»;</w:t>
      </w:r>
    </w:p>
    <w:p w:rsidR="00A86945" w:rsidRDefault="00A86945" w:rsidP="00A86945">
      <w:pPr>
        <w:pStyle w:val="a3"/>
        <w:widowControl w:val="0"/>
        <w:numPr>
          <w:ilvl w:val="0"/>
          <w:numId w:val="39"/>
        </w:numPr>
        <w:tabs>
          <w:tab w:val="left" w:pos="1134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12.02.2020 № 35</w:t>
      </w:r>
      <w:r w:rsidRPr="00A86012">
        <w:rPr>
          <w:b/>
          <w:sz w:val="28"/>
          <w:szCs w:val="28"/>
        </w:rPr>
        <w:t xml:space="preserve"> </w:t>
      </w:r>
      <w:r w:rsidRPr="00A86012">
        <w:rPr>
          <w:sz w:val="28"/>
          <w:szCs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sz w:val="28"/>
          <w:szCs w:val="28"/>
        </w:rPr>
        <w:t>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9" w:history="1">
        <w:r w:rsidRPr="004C4A67">
          <w:rPr>
            <w:rStyle w:val="af9"/>
            <w:sz w:val="28"/>
            <w:szCs w:val="28"/>
          </w:rPr>
          <w:t>http://калитинское.рф</w:t>
        </w:r>
      </w:hyperlink>
      <w:r w:rsidRPr="00683550">
        <w:rPr>
          <w:sz w:val="28"/>
          <w:szCs w:val="28"/>
        </w:rPr>
        <w:t xml:space="preserve"> и в Реестре.</w:t>
      </w:r>
    </w:p>
    <w:bookmarkEnd w:id="8"/>
    <w:p w:rsidR="00A86945" w:rsidRPr="00683550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A86945" w:rsidRPr="006C16F8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</w:t>
      </w:r>
      <w:r w:rsidRPr="006C16F8">
        <w:rPr>
          <w:sz w:val="28"/>
          <w:szCs w:val="28"/>
        </w:rPr>
        <w:lastRenderedPageBreak/>
        <w:t xml:space="preserve">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A86945" w:rsidRPr="005A169A" w:rsidRDefault="00A86945" w:rsidP="00A8694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86945" w:rsidRPr="005A169A" w:rsidRDefault="00A86945" w:rsidP="00A86945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86945" w:rsidRPr="005A169A" w:rsidRDefault="00A86945" w:rsidP="00A86945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A86945" w:rsidRPr="006C16F8" w:rsidRDefault="00A86945" w:rsidP="00A86945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Pr="006C16F8">
        <w:rPr>
          <w:sz w:val="28"/>
          <w:szCs w:val="28"/>
        </w:rPr>
        <w:t xml:space="preserve"> и подлежащим сносу или реконструкции;</w:t>
      </w:r>
    </w:p>
    <w:p w:rsidR="00A86945" w:rsidRPr="006C16F8" w:rsidRDefault="00A86945" w:rsidP="00A86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F0">
        <w:rPr>
          <w:sz w:val="28"/>
          <w:szCs w:val="28"/>
        </w:rPr>
        <w:t xml:space="preserve">7) заключение </w:t>
      </w:r>
      <w:r w:rsidRPr="006E78F0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6E78F0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6E78F0">
        <w:rPr>
          <w:rFonts w:eastAsiaTheme="minorHAnsi"/>
          <w:sz w:val="28"/>
          <w:szCs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86945" w:rsidRPr="006C16F8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86945" w:rsidRPr="00683550" w:rsidRDefault="00A86945" w:rsidP="00A869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</w:t>
      </w:r>
      <w:r w:rsidRPr="005A169A">
        <w:rPr>
          <w:sz w:val="28"/>
          <w:szCs w:val="28"/>
        </w:rPr>
        <w:lastRenderedPageBreak/>
        <w:t xml:space="preserve">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683550">
        <w:rPr>
          <w:color w:val="000000" w:themeColor="text1"/>
          <w:sz w:val="28"/>
          <w:szCs w:val="28"/>
        </w:rPr>
        <w:t>документы</w:t>
      </w:r>
      <w:proofErr w:type="gramEnd"/>
      <w:r w:rsidRPr="00683550">
        <w:rPr>
          <w:color w:val="000000" w:themeColor="text1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администрация, предоставляющая </w:t>
      </w:r>
      <w:r w:rsidRPr="00683550">
        <w:rPr>
          <w:color w:val="000000" w:themeColor="text1"/>
          <w:sz w:val="28"/>
          <w:szCs w:val="28"/>
        </w:rPr>
        <w:lastRenderedPageBreak/>
        <w:t>муниципальную услугу, вправе: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86945" w:rsidRPr="00683550" w:rsidRDefault="00A86945" w:rsidP="00A869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A86945" w:rsidRPr="00683550" w:rsidRDefault="00A86945" w:rsidP="00A8694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заявление подписано не уполномоченным лицом.</w:t>
      </w:r>
    </w:p>
    <w:p w:rsidR="00A86945" w:rsidRPr="005A169A" w:rsidRDefault="00A86945" w:rsidP="00A8694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A86945" w:rsidRPr="005A169A" w:rsidRDefault="00A86945" w:rsidP="00A8694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86945" w:rsidRPr="005A169A" w:rsidRDefault="00A86945" w:rsidP="00A869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lastRenderedPageBreak/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A86945" w:rsidRPr="005A169A" w:rsidRDefault="00A86945" w:rsidP="00A86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86945" w:rsidRPr="005A169A" w:rsidRDefault="00A86945" w:rsidP="00A86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A169A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5A169A">
        <w:rPr>
          <w:rFonts w:eastAsiaTheme="minorHAnsi"/>
          <w:sz w:val="28"/>
          <w:szCs w:val="28"/>
          <w:lang w:eastAsia="en-US"/>
        </w:rPr>
        <w:t xml:space="preserve"> для проживания</w:t>
      </w:r>
      <w:r w:rsidR="006E78F0">
        <w:rPr>
          <w:rFonts w:eastAsiaTheme="minorHAnsi"/>
          <w:sz w:val="28"/>
          <w:szCs w:val="28"/>
          <w:lang w:eastAsia="en-US"/>
        </w:rPr>
        <w:t>;</w:t>
      </w:r>
    </w:p>
    <w:p w:rsidR="00A86945" w:rsidRPr="005A169A" w:rsidRDefault="00A86945" w:rsidP="00A8694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5A169A">
        <w:rPr>
          <w:sz w:val="28"/>
          <w:szCs w:val="28"/>
        </w:rPr>
        <w:t xml:space="preserve"> </w:t>
      </w:r>
    </w:p>
    <w:p w:rsidR="00A86945" w:rsidRPr="005A169A" w:rsidRDefault="00A86945" w:rsidP="00A8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A86945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r w:rsidRPr="006E78F0">
        <w:rPr>
          <w:rFonts w:eastAsiaTheme="minorHAnsi"/>
          <w:sz w:val="28"/>
          <w:szCs w:val="28"/>
          <w:lang w:eastAsia="en-US"/>
        </w:rPr>
        <w:t xml:space="preserve">пунктом 2.6 </w:t>
      </w:r>
      <w:r w:rsidRPr="005A169A">
        <w:rPr>
          <w:rFonts w:eastAsiaTheme="minorHAnsi"/>
          <w:sz w:val="28"/>
          <w:szCs w:val="28"/>
          <w:lang w:eastAsia="en-US"/>
        </w:rPr>
        <w:t>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A86945" w:rsidRPr="00683550" w:rsidRDefault="00A86945" w:rsidP="00A869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86945" w:rsidRPr="00683550" w:rsidRDefault="00A86945" w:rsidP="00A869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A86945" w:rsidRPr="00683550" w:rsidRDefault="00A86945" w:rsidP="00A869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календарный 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календарный 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 xml:space="preserve"> документов из ГБУ ЛО «МФЦ» в  администрацию;</w:t>
      </w:r>
    </w:p>
    <w:p w:rsidR="00A86945" w:rsidRPr="00683550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5A169A">
        <w:rPr>
          <w:color w:val="000000" w:themeColor="text1"/>
          <w:szCs w:val="28"/>
        </w:rPr>
        <w:t>с даты поступления</w:t>
      </w:r>
      <w:proofErr w:type="gramEnd"/>
      <w:r w:rsidRPr="005A169A">
        <w:rPr>
          <w:color w:val="000000" w:themeColor="text1"/>
          <w:szCs w:val="28"/>
        </w:rPr>
        <w:t>.</w:t>
      </w:r>
    </w:p>
    <w:p w:rsidR="00A86945" w:rsidRPr="00683550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683550">
        <w:rPr>
          <w:color w:val="000000" w:themeColor="text1"/>
          <w:sz w:val="28"/>
          <w:szCs w:val="28"/>
        </w:rPr>
        <w:lastRenderedPageBreak/>
        <w:t>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</w:t>
      </w:r>
      <w:r w:rsidRPr="00683550">
        <w:rPr>
          <w:sz w:val="28"/>
          <w:szCs w:val="28"/>
        </w:rPr>
        <w:lastRenderedPageBreak/>
        <w:t>принадлежностями для написания письменных обращений.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A86945" w:rsidRPr="00683550" w:rsidRDefault="00A86945" w:rsidP="00A8694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A86945" w:rsidRPr="00683550" w:rsidRDefault="00A86945" w:rsidP="00A8694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A86945" w:rsidRPr="00683550" w:rsidRDefault="00A86945" w:rsidP="00A8694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A86945" w:rsidRPr="00683550" w:rsidRDefault="00A86945" w:rsidP="00A8694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86945" w:rsidRPr="00683550" w:rsidRDefault="00A86945" w:rsidP="00A86945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A86945" w:rsidRPr="00683550" w:rsidRDefault="00A86945" w:rsidP="00A86945">
      <w:pPr>
        <w:pStyle w:val="a4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A86945" w:rsidRPr="00683550" w:rsidRDefault="00A86945" w:rsidP="00A86945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86945" w:rsidRPr="00683550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A86945" w:rsidRPr="006E78F0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– </w:t>
      </w:r>
      <w:r w:rsidRPr="006E78F0">
        <w:rPr>
          <w:sz w:val="28"/>
          <w:szCs w:val="28"/>
        </w:rPr>
        <w:t>1 календарный день;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6E78F0">
        <w:rPr>
          <w:sz w:val="28"/>
          <w:szCs w:val="28"/>
        </w:rPr>
        <w:t>(работа межведомственной комиссии) –</w:t>
      </w:r>
      <w:r w:rsidRPr="006E78F0">
        <w:rPr>
          <w:sz w:val="28"/>
          <w:szCs w:val="28"/>
        </w:rPr>
        <w:br/>
      </w:r>
      <w:r w:rsidRPr="006E78F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6E78F0">
        <w:rPr>
          <w:sz w:val="28"/>
          <w:szCs w:val="28"/>
        </w:rPr>
        <w:t>30 календарных дней</w:t>
      </w:r>
      <w:r w:rsidRPr="005A169A">
        <w:rPr>
          <w:sz w:val="28"/>
          <w:szCs w:val="28"/>
        </w:rPr>
        <w:t>;</w:t>
      </w:r>
    </w:p>
    <w:p w:rsidR="00A86945" w:rsidRPr="006E78F0" w:rsidRDefault="00A86945" w:rsidP="006E78F0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Рассмотрение </w:t>
      </w:r>
      <w:r w:rsidRPr="005A169A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</w:t>
      </w:r>
      <w:r w:rsidRPr="006E78F0">
        <w:rPr>
          <w:rFonts w:eastAsiaTheme="minorHAnsi"/>
          <w:sz w:val="28"/>
          <w:szCs w:val="28"/>
          <w:lang w:eastAsia="en-US"/>
        </w:rPr>
        <w:t>- в течение 20 календарных дней;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5A169A">
        <w:rPr>
          <w:sz w:val="28"/>
          <w:szCs w:val="28"/>
        </w:rPr>
        <w:t>календарных</w:t>
      </w:r>
      <w:proofErr w:type="gramEnd"/>
      <w:r w:rsidRPr="005A169A">
        <w:rPr>
          <w:sz w:val="28"/>
          <w:szCs w:val="28"/>
        </w:rPr>
        <w:t xml:space="preserve"> дня;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</w:t>
      </w:r>
      <w:r w:rsidRPr="005A169A">
        <w:rPr>
          <w:szCs w:val="28"/>
        </w:rPr>
        <w:lastRenderedPageBreak/>
        <w:t>же день регистрирует их в соответствии с правилами делопроизводства, установленными в администрации.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6E78F0">
        <w:rPr>
          <w:sz w:val="28"/>
          <w:szCs w:val="28"/>
        </w:rPr>
        <w:t>календарного</w:t>
      </w:r>
      <w:r w:rsidRPr="005A169A">
        <w:rPr>
          <w:sz w:val="28"/>
          <w:szCs w:val="28"/>
        </w:rPr>
        <w:t xml:space="preserve"> дня.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5A169A">
        <w:rPr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5A169A">
        <w:rPr>
          <w:szCs w:val="28"/>
        </w:rPr>
        <w:t>межведомсвенной</w:t>
      </w:r>
      <w:proofErr w:type="spellEnd"/>
      <w:r w:rsidRPr="005A169A">
        <w:rPr>
          <w:szCs w:val="28"/>
        </w:rPr>
        <w:t xml:space="preserve"> комиссии, ответственное за делопроизводство.</w:t>
      </w:r>
      <w:bookmarkStart w:id="10" w:name="sub_121061"/>
      <w:bookmarkEnd w:id="9"/>
    </w:p>
    <w:bookmarkEnd w:id="10"/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3.1.2.4. Критерием принятия решения: наличие/отсутствие </w:t>
      </w:r>
      <w:proofErr w:type="spellStart"/>
      <w:r w:rsidRPr="005A169A">
        <w:rPr>
          <w:szCs w:val="28"/>
        </w:rPr>
        <w:t>основанийдля</w:t>
      </w:r>
      <w:proofErr w:type="spellEnd"/>
      <w:r w:rsidRPr="005A169A">
        <w:rPr>
          <w:szCs w:val="28"/>
        </w:rPr>
        <w:t xml:space="preserve"> отказа в приеме документов, установленных пунктом 2.9 настоящего административного регламента.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5A169A">
        <w:rPr>
          <w:sz w:val="28"/>
          <w:szCs w:val="28"/>
        </w:rPr>
        <w:t>заявлении</w:t>
      </w:r>
      <w:proofErr w:type="gramEnd"/>
      <w:r w:rsidRPr="005A169A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5A169A">
        <w:rPr>
          <w:sz w:val="28"/>
          <w:szCs w:val="28"/>
        </w:rPr>
        <w:t>с даты окончания</w:t>
      </w:r>
      <w:proofErr w:type="gramEnd"/>
      <w:r w:rsidRPr="005A169A">
        <w:rPr>
          <w:sz w:val="28"/>
          <w:szCs w:val="28"/>
        </w:rPr>
        <w:t xml:space="preserve"> первой административной процедуры.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Организация работы межведомственной комиссии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Выполнение указанных административных действий - </w:t>
      </w:r>
      <w:r w:rsidRPr="006E78F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6E78F0">
        <w:rPr>
          <w:sz w:val="28"/>
          <w:szCs w:val="28"/>
        </w:rPr>
        <w:t>30 календарных дней</w:t>
      </w:r>
      <w:r w:rsidRPr="005A169A">
        <w:rPr>
          <w:sz w:val="28"/>
          <w:szCs w:val="28"/>
        </w:rPr>
        <w:t xml:space="preserve"> </w:t>
      </w:r>
      <w:proofErr w:type="gramStart"/>
      <w:r w:rsidRPr="005A169A">
        <w:rPr>
          <w:sz w:val="28"/>
          <w:szCs w:val="28"/>
        </w:rPr>
        <w:t>с даты окончания</w:t>
      </w:r>
      <w:proofErr w:type="gramEnd"/>
      <w:r w:rsidRPr="005A169A">
        <w:rPr>
          <w:sz w:val="28"/>
          <w:szCs w:val="28"/>
        </w:rPr>
        <w:t xml:space="preserve"> первой административной процедуры</w:t>
      </w:r>
      <w:r w:rsidRPr="005A169A">
        <w:rPr>
          <w:color w:val="FF0000"/>
          <w:sz w:val="28"/>
          <w:szCs w:val="28"/>
        </w:rPr>
        <w:t>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</w:t>
      </w:r>
      <w:proofErr w:type="gramStart"/>
      <w:r w:rsidRPr="005A169A">
        <w:rPr>
          <w:sz w:val="28"/>
          <w:szCs w:val="28"/>
        </w:rPr>
        <w:t>с даты окончания</w:t>
      </w:r>
      <w:proofErr w:type="gramEnd"/>
      <w:r w:rsidRPr="005A169A">
        <w:rPr>
          <w:sz w:val="28"/>
          <w:szCs w:val="28"/>
        </w:rPr>
        <w:t xml:space="preserve"> первой административной процедуры.</w:t>
      </w:r>
      <w:r w:rsidRPr="005A169A">
        <w:rPr>
          <w:rFonts w:eastAsiaTheme="minorHAnsi"/>
          <w:sz w:val="28"/>
          <w:szCs w:val="28"/>
          <w:lang w:eastAsia="en-US"/>
        </w:rPr>
        <w:t xml:space="preserve">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В случае если комиссией проводится оценка жилых помещений </w:t>
      </w:r>
      <w:r w:rsidRPr="005A169A">
        <w:rPr>
          <w:sz w:val="28"/>
          <w:szCs w:val="28"/>
        </w:rPr>
        <w:lastRenderedPageBreak/>
        <w:t>жилищного фонда Российской Федерации или многоквартирного дома, находящ</w:t>
      </w:r>
      <w:r w:rsidR="006E78F0">
        <w:rPr>
          <w:sz w:val="28"/>
          <w:szCs w:val="28"/>
        </w:rPr>
        <w:t xml:space="preserve">егося </w:t>
      </w:r>
      <w:r w:rsidRPr="005A169A">
        <w:rPr>
          <w:sz w:val="28"/>
          <w:szCs w:val="28"/>
        </w:rPr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5A169A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5A169A">
        <w:rPr>
          <w:sz w:val="28"/>
          <w:szCs w:val="28"/>
        </w:rPr>
        <w:t>разместить</w:t>
      </w:r>
      <w:proofErr w:type="gramEnd"/>
      <w:r w:rsidRPr="005A169A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3.1.3.3. По результатам принимается одно из решений: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r w:rsidRPr="006E78F0">
        <w:rPr>
          <w:rFonts w:eastAsiaTheme="minorHAnsi"/>
          <w:sz w:val="28"/>
          <w:szCs w:val="28"/>
          <w:lang w:eastAsia="en-US"/>
        </w:rPr>
        <w:t>пунктом 2.6</w:t>
      </w:r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о выявлении оснований для признания помещения </w:t>
      </w:r>
      <w:proofErr w:type="gramStart"/>
      <w:r w:rsidRPr="005A169A">
        <w:rPr>
          <w:sz w:val="28"/>
          <w:szCs w:val="28"/>
        </w:rPr>
        <w:t>непригодным</w:t>
      </w:r>
      <w:proofErr w:type="gramEnd"/>
      <w:r w:rsidRPr="005A169A">
        <w:rPr>
          <w:sz w:val="28"/>
          <w:szCs w:val="28"/>
        </w:rPr>
        <w:t xml:space="preserve"> для проживания;</w:t>
      </w:r>
    </w:p>
    <w:p w:rsidR="00A86945" w:rsidRPr="006E78F0" w:rsidRDefault="00A86945" w:rsidP="00A86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78F0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6E78F0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6E78F0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к административному регламенту.</w:t>
      </w:r>
    </w:p>
    <w:p w:rsidR="00A86945" w:rsidRPr="005A169A" w:rsidRDefault="00A86945" w:rsidP="00A869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86945" w:rsidRPr="005A169A" w:rsidRDefault="00A86945" w:rsidP="00A8694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</w:t>
      </w:r>
      <w:r w:rsid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="006E78F0">
        <w:rPr>
          <w:sz w:val="28"/>
          <w:szCs w:val="28"/>
        </w:rPr>
        <w:t xml:space="preserve">вынесенного </w:t>
      </w:r>
      <w:r w:rsidRPr="005A169A">
        <w:rPr>
          <w:sz w:val="28"/>
          <w:szCs w:val="28"/>
        </w:rPr>
        <w:t>в соответствии с пунктом 20 Правил обеспечения условий досту</w:t>
      </w:r>
      <w:r w:rsidR="006E78F0">
        <w:rPr>
          <w:sz w:val="28"/>
          <w:szCs w:val="28"/>
        </w:rPr>
        <w:t>пности</w:t>
      </w:r>
      <w:proofErr w:type="gramEnd"/>
      <w:r w:rsid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="006E78F0">
        <w:rPr>
          <w:sz w:val="28"/>
          <w:szCs w:val="28"/>
        </w:rPr>
        <w:t xml:space="preserve">  </w:t>
      </w:r>
      <w:r w:rsidRPr="005A169A">
        <w:rPr>
          <w:sz w:val="28"/>
          <w:szCs w:val="28"/>
        </w:rPr>
        <w:t xml:space="preserve">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3.1.3.4. Лицо, ответственное за выполнени</w:t>
      </w:r>
      <w:r w:rsidR="006E78F0">
        <w:rPr>
          <w:sz w:val="28"/>
          <w:szCs w:val="28"/>
        </w:rPr>
        <w:t>е административной процедуры:  ч</w:t>
      </w:r>
      <w:r w:rsidRPr="005A169A">
        <w:rPr>
          <w:sz w:val="28"/>
          <w:szCs w:val="28"/>
        </w:rPr>
        <w:t xml:space="preserve">лены </w:t>
      </w:r>
      <w:proofErr w:type="spellStart"/>
      <w:r w:rsidRPr="005A169A">
        <w:rPr>
          <w:sz w:val="28"/>
          <w:szCs w:val="28"/>
        </w:rPr>
        <w:t>межведомтсвенной</w:t>
      </w:r>
      <w:proofErr w:type="spellEnd"/>
      <w:r w:rsidRPr="005A169A">
        <w:rPr>
          <w:sz w:val="28"/>
          <w:szCs w:val="28"/>
        </w:rPr>
        <w:t xml:space="preserve"> комиссии.</w:t>
      </w:r>
    </w:p>
    <w:p w:rsidR="00A86945" w:rsidRPr="005A169A" w:rsidRDefault="00A86945" w:rsidP="00A86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3.1.3.5. Критерий принятия решения: </w:t>
      </w:r>
    </w:p>
    <w:p w:rsidR="00A86945" w:rsidRPr="005A169A" w:rsidRDefault="00A86945" w:rsidP="00A86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A86945" w:rsidRPr="005A169A" w:rsidRDefault="00A86945" w:rsidP="00A86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A86945" w:rsidRPr="006E78F0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8F0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6E78F0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6E78F0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6E78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Возврат заявления и документов заявителю.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A169A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3.1.4.1. Основание для начала административной процедуры: представление </w:t>
      </w:r>
      <w:r w:rsidRPr="006E78F0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5A169A">
        <w:rPr>
          <w:szCs w:val="28"/>
        </w:rPr>
        <w:t xml:space="preserve"> лицу, ответственному за его принятие и подписание.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рассмотрение </w:t>
      </w:r>
      <w:r w:rsidRPr="006E78F0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6E78F0">
        <w:rPr>
          <w:rFonts w:eastAsiaTheme="minorHAnsi"/>
          <w:bCs/>
          <w:szCs w:val="28"/>
          <w:lang w:eastAsia="en-US"/>
        </w:rPr>
        <w:t>,</w:t>
      </w:r>
      <w:r w:rsidRPr="005A169A">
        <w:rPr>
          <w:rFonts w:eastAsiaTheme="minorHAnsi"/>
          <w:bCs/>
          <w:color w:val="FF0000"/>
          <w:szCs w:val="28"/>
          <w:lang w:eastAsia="en-US"/>
        </w:rPr>
        <w:t xml:space="preserve"> </w:t>
      </w:r>
      <w:r w:rsidRPr="005A169A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5A169A">
        <w:rPr>
          <w:sz w:val="28"/>
          <w:szCs w:val="28"/>
        </w:rPr>
        <w:t>с даты окончания</w:t>
      </w:r>
      <w:proofErr w:type="gramEnd"/>
      <w:r w:rsidRPr="005A169A">
        <w:rPr>
          <w:sz w:val="28"/>
          <w:szCs w:val="28"/>
        </w:rPr>
        <w:t xml:space="preserve"> второй </w:t>
      </w:r>
      <w:proofErr w:type="spellStart"/>
      <w:r w:rsidRPr="005A169A">
        <w:rPr>
          <w:sz w:val="28"/>
          <w:szCs w:val="28"/>
        </w:rPr>
        <w:t>админитративной</w:t>
      </w:r>
      <w:proofErr w:type="spellEnd"/>
      <w:r w:rsidRPr="005A169A">
        <w:rPr>
          <w:sz w:val="28"/>
          <w:szCs w:val="28"/>
        </w:rPr>
        <w:t xml:space="preserve"> процедуры.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3.1.4.4. Критерий принятия решения: с</w:t>
      </w:r>
      <w:r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выполнения административной процедуры: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</w:t>
      </w:r>
      <w:proofErr w:type="gramStart"/>
      <w:r w:rsidRPr="005A169A"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5A169A">
        <w:rPr>
          <w:sz w:val="28"/>
          <w:szCs w:val="28"/>
        </w:rPr>
        <w:t xml:space="preserve"> решения.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</w:t>
      </w:r>
      <w:r w:rsidRPr="005A169A">
        <w:rPr>
          <w:sz w:val="28"/>
          <w:szCs w:val="28"/>
        </w:rPr>
        <w:lastRenderedPageBreak/>
        <w:t>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69A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5A169A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A86945" w:rsidRPr="005A169A" w:rsidRDefault="00A86945" w:rsidP="00A869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A86945" w:rsidRPr="005A169A" w:rsidRDefault="00A86945" w:rsidP="00A86945">
      <w:pPr>
        <w:pStyle w:val="a4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электронной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форме заявление на оказание муниципальной услуги;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86945" w:rsidRPr="005A169A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 xml:space="preserve">3.3. Порядок исправления допущенных опечаток и ошибок в выданных </w:t>
      </w:r>
      <w:r w:rsidRPr="005A169A">
        <w:rPr>
          <w:color w:val="000000" w:themeColor="text1"/>
          <w:sz w:val="28"/>
          <w:szCs w:val="28"/>
        </w:rPr>
        <w:lastRenderedPageBreak/>
        <w:t>в результате предоставления муниципальной услуги документах</w:t>
      </w:r>
    </w:p>
    <w:p w:rsidR="00A86945" w:rsidRPr="005A169A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A86945" w:rsidRPr="005A169A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</w:t>
      </w:r>
      <w:proofErr w:type="gramStart"/>
      <w:r w:rsidRPr="005A169A">
        <w:rPr>
          <w:b/>
          <w:color w:val="000000" w:themeColor="text1"/>
          <w:szCs w:val="28"/>
        </w:rPr>
        <w:t>контроля за</w:t>
      </w:r>
      <w:proofErr w:type="gramEnd"/>
      <w:r w:rsidRPr="005A169A">
        <w:rPr>
          <w:b/>
          <w:color w:val="000000" w:themeColor="text1"/>
          <w:szCs w:val="28"/>
        </w:rPr>
        <w:t xml:space="preserve"> </w:t>
      </w:r>
      <w:r w:rsidRPr="005A169A">
        <w:rPr>
          <w:b/>
          <w:szCs w:val="28"/>
        </w:rPr>
        <w:t>исполнением административного регламента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соблюдением </w:t>
      </w:r>
      <w:r w:rsidR="006E78F0">
        <w:rPr>
          <w:szCs w:val="28"/>
        </w:rPr>
        <w:t xml:space="preserve"> </w:t>
      </w:r>
      <w:r w:rsidRPr="005A169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5A169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с </w:t>
      </w:r>
      <w:r w:rsidRPr="005A169A">
        <w:rPr>
          <w:szCs w:val="28"/>
        </w:rPr>
        <w:lastRenderedPageBreak/>
        <w:t xml:space="preserve"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="006E78F0">
        <w:rPr>
          <w:szCs w:val="28"/>
        </w:rPr>
        <w:t xml:space="preserve"> </w:t>
      </w:r>
      <w:r w:rsidRPr="005A169A">
        <w:rPr>
          <w:szCs w:val="28"/>
        </w:rPr>
        <w:t>по предоставлению муниципальных услуг издается правовой акт руководителя контролирующего органа.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</w:t>
      </w:r>
      <w:r w:rsidR="006E78F0">
        <w:rPr>
          <w:szCs w:val="28"/>
        </w:rPr>
        <w:t xml:space="preserve">й, выявленные </w:t>
      </w:r>
      <w:r w:rsidRPr="005A169A">
        <w:rPr>
          <w:szCs w:val="28"/>
        </w:rPr>
        <w:t xml:space="preserve"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</w:t>
      </w:r>
      <w:r w:rsidR="006E78F0">
        <w:rPr>
          <w:szCs w:val="28"/>
        </w:rPr>
        <w:t xml:space="preserve"> </w:t>
      </w:r>
      <w:r w:rsidRPr="005A169A">
        <w:rPr>
          <w:szCs w:val="28"/>
        </w:rPr>
        <w:t>в обращении, а также выводы и предложения по устранению выявленных</w:t>
      </w:r>
      <w:r w:rsidR="006E78F0">
        <w:rPr>
          <w:szCs w:val="28"/>
        </w:rPr>
        <w:t xml:space="preserve"> </w:t>
      </w:r>
      <w:r w:rsidRPr="005A169A">
        <w:rPr>
          <w:szCs w:val="28"/>
        </w:rPr>
        <w:t>при проверке нарушений.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6945" w:rsidRPr="005A169A" w:rsidRDefault="006E78F0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86945" w:rsidRPr="005A169A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A86945" w:rsidRPr="005A169A" w:rsidRDefault="006E78F0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A86945" w:rsidRPr="005A169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6945" w:rsidRPr="005A169A" w:rsidRDefault="00A86945" w:rsidP="00A86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86945" w:rsidRPr="005A169A" w:rsidRDefault="00A86945" w:rsidP="00A86945">
      <w:pPr>
        <w:pStyle w:val="a4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A86945" w:rsidRPr="005A169A" w:rsidRDefault="00A86945" w:rsidP="00A86945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86945" w:rsidRPr="005A169A" w:rsidRDefault="00A86945" w:rsidP="00A86945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:rsidR="00A86945" w:rsidRPr="005A169A" w:rsidRDefault="00A86945" w:rsidP="00A86945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6E78F0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</w:t>
      </w:r>
      <w:r w:rsidRPr="005A169A">
        <w:rPr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169A">
        <w:rPr>
          <w:sz w:val="28"/>
          <w:szCs w:val="28"/>
        </w:rPr>
        <w:t xml:space="preserve">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A169A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A169A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доводы, на основании которых заявитель не согласен с решением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(при наличии), подтверждающие доводы заявителя, либо их копии.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</w:t>
      </w:r>
      <w:proofErr w:type="gramStart"/>
      <w:r w:rsidRPr="005A169A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или в случае обжалования нарушения установленного срока таких исправлений - в течение</w:t>
      </w:r>
      <w:proofErr w:type="gramEnd"/>
      <w:r w:rsidRPr="005A169A">
        <w:rPr>
          <w:sz w:val="28"/>
          <w:szCs w:val="28"/>
        </w:rPr>
        <w:t xml:space="preserve"> пяти рабочих дней со дня ее регистрации.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86945" w:rsidRPr="005A169A" w:rsidRDefault="00A86945" w:rsidP="00A86945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6945" w:rsidRPr="005A169A" w:rsidRDefault="00A86945" w:rsidP="00A86945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A86945" w:rsidRPr="005A169A" w:rsidRDefault="00A86945" w:rsidP="00A869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86945" w:rsidRPr="005A169A" w:rsidRDefault="00A86945" w:rsidP="00A86945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</w:t>
      </w:r>
      <w:r w:rsidR="00947277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Pr="005A169A">
        <w:rPr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5A169A">
        <w:rPr>
          <w:sz w:val="28"/>
          <w:szCs w:val="28"/>
        </w:rPr>
        <w:t>неудобства</w:t>
      </w:r>
      <w:proofErr w:type="gramEnd"/>
      <w:r w:rsidRPr="005A169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945" w:rsidRPr="005A169A" w:rsidRDefault="00A86945" w:rsidP="00A86945">
      <w:pPr>
        <w:pStyle w:val="a3"/>
        <w:widowControl w:val="0"/>
        <w:numPr>
          <w:ilvl w:val="0"/>
          <w:numId w:val="31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</w:t>
      </w:r>
      <w:proofErr w:type="gramStart"/>
      <w:r w:rsidRPr="005A169A">
        <w:rPr>
          <w:sz w:val="28"/>
          <w:szCs w:val="28"/>
        </w:rPr>
        <w:t>жалобы</w:t>
      </w:r>
      <w:proofErr w:type="gramEnd"/>
      <w:r w:rsidRPr="005A169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86945" w:rsidRPr="005A169A" w:rsidRDefault="00A86945" w:rsidP="00A86945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A169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169A">
        <w:rPr>
          <w:sz w:val="28"/>
          <w:szCs w:val="28"/>
        </w:rPr>
        <w:t xml:space="preserve">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6945" w:rsidRPr="005A169A" w:rsidRDefault="00A86945" w:rsidP="00A86945">
      <w:pPr>
        <w:jc w:val="both"/>
        <w:rPr>
          <w:iCs/>
          <w:color w:val="000000" w:themeColor="text1"/>
          <w:sz w:val="28"/>
          <w:szCs w:val="28"/>
        </w:rPr>
      </w:pPr>
    </w:p>
    <w:p w:rsidR="00A86945" w:rsidRPr="00683550" w:rsidRDefault="00A86945" w:rsidP="00A86945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5A169A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A86945" w:rsidRPr="00683550" w:rsidRDefault="00A86945" w:rsidP="00A8694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 w:rsidR="00947277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86945" w:rsidRPr="00683550" w:rsidRDefault="00A86945" w:rsidP="00A86945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86945" w:rsidRPr="00683550" w:rsidRDefault="00A86945" w:rsidP="00A86945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86945" w:rsidRPr="00683550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="00947277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>о предоставлении (отказе в предоставлении) муниципальной услуги заявителю;</w:t>
      </w:r>
    </w:p>
    <w:p w:rsidR="00A86945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</w:p>
    <w:p w:rsidR="00A86945" w:rsidRDefault="00A86945" w:rsidP="00A869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="00947277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от администрации сообщает заявителю о принятом решении по телефону </w:t>
      </w:r>
      <w:r w:rsidR="00947277">
        <w:rPr>
          <w:color w:val="000000" w:themeColor="text1"/>
          <w:sz w:val="28"/>
          <w:szCs w:val="28"/>
        </w:rPr>
        <w:t xml:space="preserve"> </w:t>
      </w:r>
      <w:r w:rsidRPr="00683550">
        <w:rPr>
          <w:color w:val="000000" w:themeColor="text1"/>
          <w:sz w:val="28"/>
          <w:szCs w:val="28"/>
        </w:rPr>
        <w:t xml:space="preserve">(с записью даты и времени телефонного звонка или посредством </w:t>
      </w:r>
      <w:r w:rsidR="00947277">
        <w:rPr>
          <w:color w:val="000000" w:themeColor="text1"/>
          <w:sz w:val="28"/>
          <w:szCs w:val="28"/>
        </w:rPr>
        <w:t xml:space="preserve"> </w:t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A86945" w:rsidRPr="00683550" w:rsidRDefault="00A86945" w:rsidP="00A86945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5A169A">
        <w:rPr>
          <w:sz w:val="28"/>
          <w:szCs w:val="28"/>
        </w:rPr>
        <w:t>нормативным</w:t>
      </w:r>
      <w:proofErr w:type="gramEnd"/>
      <w:r w:rsidRPr="005A169A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683550">
        <w:rPr>
          <w:b/>
          <w:bCs/>
          <w:color w:val="C0504D" w:themeColor="accent2"/>
        </w:rPr>
        <w:br w:type="page"/>
      </w:r>
    </w:p>
    <w:p w:rsidR="00A86945" w:rsidRPr="00683550" w:rsidRDefault="00A86945" w:rsidP="00A86945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1</w:t>
      </w:r>
    </w:p>
    <w:p w:rsidR="00A86945" w:rsidRPr="00683550" w:rsidRDefault="00A86945" w:rsidP="00A86945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86945" w:rsidRPr="00683550" w:rsidRDefault="00A86945" w:rsidP="00A86945">
      <w:pPr>
        <w:widowControl w:val="0"/>
        <w:jc w:val="right"/>
      </w:pPr>
      <w:r w:rsidRPr="00683550">
        <w:rPr>
          <w:b/>
          <w:bCs/>
        </w:rPr>
        <w:t> 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A86945" w:rsidRPr="00683550" w:rsidRDefault="00A86945" w:rsidP="00A86945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A86945" w:rsidRPr="00683550" w:rsidRDefault="00A86945" w:rsidP="00A86945">
      <w:pPr>
        <w:widowControl w:val="0"/>
        <w:jc w:val="right"/>
      </w:pPr>
      <w:r w:rsidRPr="00683550">
        <w:t>от _____________________________________________________</w:t>
      </w:r>
    </w:p>
    <w:p w:rsidR="00A86945" w:rsidRPr="00683550" w:rsidRDefault="00A86945" w:rsidP="00A86945">
      <w:pPr>
        <w:widowControl w:val="0"/>
        <w:jc w:val="right"/>
      </w:pPr>
      <w:r w:rsidRPr="00683550">
        <w:t>(указать статус заявителя) </w:t>
      </w:r>
    </w:p>
    <w:p w:rsidR="00A86945" w:rsidRPr="00683550" w:rsidRDefault="00A86945" w:rsidP="00A86945">
      <w:pPr>
        <w:widowControl w:val="0"/>
        <w:jc w:val="right"/>
      </w:pPr>
      <w:r w:rsidRPr="00683550">
        <w:t>_____________________________________________________</w:t>
      </w:r>
    </w:p>
    <w:p w:rsidR="00A86945" w:rsidRPr="00683550" w:rsidRDefault="00A86945" w:rsidP="00A86945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A86945" w:rsidRPr="00683550" w:rsidRDefault="00A86945" w:rsidP="00A86945">
      <w:pPr>
        <w:widowControl w:val="0"/>
        <w:jc w:val="right"/>
      </w:pPr>
      <w:r w:rsidRPr="00683550">
        <w:t>адрес места нахождения юридического лица)</w:t>
      </w:r>
    </w:p>
    <w:p w:rsidR="00A86945" w:rsidRPr="00683550" w:rsidRDefault="00A86945" w:rsidP="00A86945">
      <w:pPr>
        <w:widowControl w:val="0"/>
        <w:jc w:val="right"/>
      </w:pPr>
      <w:r w:rsidRPr="00683550">
        <w:t>_____________________________________________________</w:t>
      </w:r>
    </w:p>
    <w:p w:rsidR="00A86945" w:rsidRPr="00683550" w:rsidRDefault="00A86945" w:rsidP="00A86945">
      <w:pPr>
        <w:widowControl w:val="0"/>
        <w:jc w:val="right"/>
      </w:pPr>
      <w:r w:rsidRPr="00683550">
        <w:t>(адрес места жительства/нахождения)</w:t>
      </w:r>
    </w:p>
    <w:p w:rsidR="00A86945" w:rsidRPr="00683550" w:rsidRDefault="00A86945" w:rsidP="00A86945">
      <w:pPr>
        <w:widowControl w:val="0"/>
        <w:jc w:val="right"/>
      </w:pPr>
      <w:r w:rsidRPr="00683550">
        <w:t>_____________________________________________________</w:t>
      </w:r>
    </w:p>
    <w:p w:rsidR="00A86945" w:rsidRPr="00683550" w:rsidRDefault="00A86945" w:rsidP="00A86945">
      <w:pPr>
        <w:widowControl w:val="0"/>
        <w:jc w:val="right"/>
      </w:pPr>
      <w:r w:rsidRPr="00683550">
        <w:t>(контактный телефон)</w:t>
      </w:r>
    </w:p>
    <w:p w:rsidR="00A86945" w:rsidRPr="00683550" w:rsidRDefault="00A86945" w:rsidP="00A86945">
      <w:pPr>
        <w:widowControl w:val="0"/>
        <w:jc w:val="right"/>
        <w:rPr>
          <w:b/>
          <w:bCs/>
        </w:rPr>
      </w:pPr>
    </w:p>
    <w:p w:rsidR="00A86945" w:rsidRPr="00683550" w:rsidRDefault="00A86945" w:rsidP="00A86945">
      <w:pPr>
        <w:widowControl w:val="0"/>
        <w:jc w:val="right"/>
        <w:rPr>
          <w:sz w:val="28"/>
          <w:szCs w:val="28"/>
        </w:rPr>
      </w:pPr>
    </w:p>
    <w:p w:rsidR="00A86945" w:rsidRPr="00683550" w:rsidRDefault="00A86945" w:rsidP="00A86945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86945" w:rsidRPr="00683550" w:rsidRDefault="00A86945" w:rsidP="00A86945">
      <w:pPr>
        <w:widowControl w:val="0"/>
        <w:jc w:val="center"/>
      </w:pPr>
    </w:p>
    <w:p w:rsidR="00A86945" w:rsidRPr="00683550" w:rsidRDefault="00A86945" w:rsidP="00A86945">
      <w:pPr>
        <w:widowControl w:val="0"/>
      </w:pPr>
      <w:r w:rsidRPr="00683550">
        <w:t>Прошу провести оценку соответствия помещения  по  адресу:</w:t>
      </w:r>
    </w:p>
    <w:p w:rsidR="00A86945" w:rsidRPr="00683550" w:rsidRDefault="00A86945" w:rsidP="00A86945">
      <w:pPr>
        <w:widowControl w:val="0"/>
      </w:pPr>
      <w:r w:rsidRPr="00683550">
        <w:t>__________________________________________________</w:t>
      </w:r>
      <w:r w:rsidR="00947277">
        <w:t>___________________________</w:t>
      </w:r>
      <w:r>
        <w:br/>
        <w:t>кадастровый номер (при наличии): __________________________________________________</w:t>
      </w:r>
      <w:r w:rsidR="00947277">
        <w:t>___________________________</w:t>
      </w:r>
    </w:p>
    <w:p w:rsidR="00A86945" w:rsidRPr="00683550" w:rsidRDefault="00A86945" w:rsidP="00A86945">
      <w:pPr>
        <w:jc w:val="both"/>
      </w:pPr>
      <w:proofErr w:type="gramStart"/>
      <w:r w:rsidRPr="00683550">
        <w:t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</w:t>
      </w:r>
      <w:r w:rsidR="00947277">
        <w:t xml:space="preserve"> </w:t>
      </w:r>
      <w:r w:rsidRPr="00683550">
        <w:t>№ 47, и признать его _____________________________________________</w:t>
      </w:r>
      <w:proofErr w:type="gramEnd"/>
    </w:p>
    <w:p w:rsidR="00A86945" w:rsidRPr="00683550" w:rsidRDefault="00A86945" w:rsidP="00A86945">
      <w:pPr>
        <w:widowControl w:val="0"/>
      </w:pPr>
    </w:p>
    <w:p w:rsidR="00A86945" w:rsidRPr="00683550" w:rsidRDefault="00A86945" w:rsidP="00A86945">
      <w:pPr>
        <w:widowControl w:val="0"/>
      </w:pPr>
      <w:r w:rsidRPr="00683550">
        <w:t>К заявлению прилагаются:</w:t>
      </w:r>
    </w:p>
    <w:p w:rsidR="00A86945" w:rsidRPr="00683550" w:rsidRDefault="00A86945" w:rsidP="00A86945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</w:t>
      </w:r>
      <w:r w:rsidR="00947277">
        <w:t>_________________</w:t>
      </w:r>
    </w:p>
    <w:p w:rsidR="00A86945" w:rsidRPr="00683550" w:rsidRDefault="00A86945" w:rsidP="00A86945">
      <w:pPr>
        <w:widowControl w:val="0"/>
        <w:pBdr>
          <w:bottom w:val="single" w:sz="12" w:space="1" w:color="auto"/>
        </w:pBdr>
      </w:pPr>
    </w:p>
    <w:p w:rsidR="00A86945" w:rsidRPr="00683550" w:rsidRDefault="00A86945" w:rsidP="00A86945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A86945" w:rsidRPr="00683550" w:rsidRDefault="00A86945" w:rsidP="00A86945">
      <w:pPr>
        <w:pStyle w:val="af5"/>
        <w:widowControl w:val="0"/>
        <w:rPr>
          <w:sz w:val="24"/>
          <w:szCs w:val="24"/>
        </w:rPr>
      </w:pPr>
    </w:p>
    <w:p w:rsidR="00A86945" w:rsidRPr="00683550" w:rsidRDefault="00A86945" w:rsidP="00A86945">
      <w:pPr>
        <w:pStyle w:val="af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A86945" w:rsidRPr="00683550" w:rsidRDefault="00A86945" w:rsidP="00A86945">
      <w:pPr>
        <w:pStyle w:val="af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A86945" w:rsidRPr="00683550" w:rsidRDefault="00A86945" w:rsidP="00A86945">
      <w:pPr>
        <w:pStyle w:val="af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A86945" w:rsidRPr="00683550" w:rsidRDefault="00A86945" w:rsidP="00A86945">
      <w:pPr>
        <w:pStyle w:val="af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A86945" w:rsidRPr="00683550" w:rsidRDefault="00A86945" w:rsidP="00A86945">
      <w:pPr>
        <w:pStyle w:val="af5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86945" w:rsidRPr="00683550" w:rsidRDefault="00A86945" w:rsidP="00A86945">
      <w:pPr>
        <w:pStyle w:val="af5"/>
        <w:widowControl w:val="0"/>
      </w:pPr>
    </w:p>
    <w:p w:rsidR="00A86945" w:rsidRPr="00683550" w:rsidRDefault="00A86945" w:rsidP="00A86945">
      <w:pPr>
        <w:pStyle w:val="af5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A86945" w:rsidRPr="00683550" w:rsidRDefault="00A86945" w:rsidP="00A86945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A86945" w:rsidRPr="00683550" w:rsidRDefault="00A86945" w:rsidP="00A86945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A86945" w:rsidRPr="00683550" w:rsidRDefault="00A86945" w:rsidP="00A86945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A86945" w:rsidRPr="00683550" w:rsidRDefault="00A86945" w:rsidP="00A86945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86945" w:rsidRPr="00683550" w:rsidRDefault="00A86945" w:rsidP="00A86945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A86945" w:rsidRPr="00683550" w:rsidRDefault="00A86945" w:rsidP="00A86945">
      <w:pPr>
        <w:jc w:val="right"/>
        <w:rPr>
          <w:bCs/>
        </w:rPr>
      </w:pPr>
      <w:r w:rsidRPr="00683550">
        <w:rPr>
          <w:bCs/>
        </w:rPr>
        <w:t>(форма)</w:t>
      </w:r>
    </w:p>
    <w:p w:rsidR="00A86945" w:rsidRPr="00683550" w:rsidRDefault="00A86945" w:rsidP="00A8694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A86945" w:rsidRPr="00683550" w:rsidRDefault="00A86945" w:rsidP="00A8694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A86945" w:rsidRPr="00683550" w:rsidTr="006E78F0">
        <w:trPr>
          <w:cantSplit/>
        </w:trPr>
        <w:tc>
          <w:tcPr>
            <w:tcW w:w="369" w:type="dxa"/>
            <w:vAlign w:val="bottom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86945" w:rsidRPr="00683550" w:rsidTr="006E78F0">
        <w:trPr>
          <w:cantSplit/>
        </w:trPr>
        <w:tc>
          <w:tcPr>
            <w:tcW w:w="369" w:type="dxa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A86945" w:rsidRPr="00683550" w:rsidRDefault="00A86945" w:rsidP="00A86945">
      <w:pPr>
        <w:spacing w:before="240"/>
      </w:pPr>
    </w:p>
    <w:p w:rsidR="00A86945" w:rsidRPr="00683550" w:rsidRDefault="00A86945" w:rsidP="00A8694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86945" w:rsidRPr="00683550" w:rsidRDefault="00A86945" w:rsidP="00A86945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A86945" w:rsidRPr="00683550" w:rsidRDefault="00A86945" w:rsidP="00A86945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86945" w:rsidRDefault="00A86945" w:rsidP="00A86945"/>
    <w:p w:rsidR="00A86945" w:rsidRPr="008531BC" w:rsidRDefault="00A86945" w:rsidP="00A86945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</w:t>
      </w:r>
      <w:r w:rsidR="00947277">
        <w:rPr>
          <w:sz w:val="20"/>
          <w:szCs w:val="20"/>
        </w:rPr>
        <w:t>__________________________________________</w:t>
      </w:r>
    </w:p>
    <w:p w:rsidR="00A86945" w:rsidRPr="008531BC" w:rsidRDefault="00A86945" w:rsidP="00A86945">
      <w:pPr>
        <w:jc w:val="center"/>
        <w:rPr>
          <w:sz w:val="20"/>
          <w:szCs w:val="20"/>
        </w:rPr>
      </w:pPr>
    </w:p>
    <w:p w:rsidR="00A86945" w:rsidRPr="00683550" w:rsidRDefault="00A86945" w:rsidP="00A86945">
      <w:pPr>
        <w:tabs>
          <w:tab w:val="right" w:pos="9923"/>
        </w:tabs>
      </w:pPr>
      <w:r>
        <w:t>__________________________________________________</w:t>
      </w:r>
      <w:r w:rsidR="00947277">
        <w:t>___________________________</w:t>
      </w:r>
      <w:r w:rsidRPr="00683550">
        <w:tab/>
        <w:t>,</w:t>
      </w:r>
    </w:p>
    <w:p w:rsidR="00A86945" w:rsidRPr="00683550" w:rsidRDefault="00A86945" w:rsidP="00A86945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A86945" w:rsidRPr="00683550" w:rsidRDefault="00A86945" w:rsidP="00A86945"/>
    <w:p w:rsidR="00A86945" w:rsidRPr="00683550" w:rsidRDefault="00A86945" w:rsidP="00A86945">
      <w:pPr>
        <w:pBdr>
          <w:top w:val="single" w:sz="4" w:space="1" w:color="auto"/>
        </w:pBdr>
        <w:rPr>
          <w:sz w:val="2"/>
          <w:szCs w:val="2"/>
        </w:rPr>
      </w:pPr>
    </w:p>
    <w:p w:rsidR="00A86945" w:rsidRPr="00683550" w:rsidRDefault="00A86945" w:rsidP="00A86945">
      <w:r w:rsidRPr="00683550">
        <w:t xml:space="preserve">и членов комиссии  </w:t>
      </w:r>
    </w:p>
    <w:p w:rsidR="00A86945" w:rsidRPr="00683550" w:rsidRDefault="00A86945" w:rsidP="00A86945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A86945" w:rsidRPr="00683550" w:rsidRDefault="00A86945" w:rsidP="00A86945">
      <w:r w:rsidRPr="00683550">
        <w:t xml:space="preserve">при участии приглашенных экспертов  </w:t>
      </w:r>
    </w:p>
    <w:p w:rsidR="00A86945" w:rsidRPr="00683550" w:rsidRDefault="00A86945" w:rsidP="00A8694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86945" w:rsidRPr="00683550" w:rsidRDefault="00A86945" w:rsidP="00A86945"/>
    <w:p w:rsidR="00A86945" w:rsidRPr="00683550" w:rsidRDefault="00A86945" w:rsidP="00A86945">
      <w:pPr>
        <w:pBdr>
          <w:top w:val="single" w:sz="4" w:space="1" w:color="auto"/>
        </w:pBdr>
        <w:rPr>
          <w:sz w:val="2"/>
          <w:szCs w:val="2"/>
        </w:rPr>
      </w:pPr>
    </w:p>
    <w:p w:rsidR="00A86945" w:rsidRPr="00683550" w:rsidRDefault="00A86945" w:rsidP="00A86945"/>
    <w:p w:rsidR="00A86945" w:rsidRPr="00683550" w:rsidRDefault="00A86945" w:rsidP="00A86945">
      <w:pPr>
        <w:pBdr>
          <w:top w:val="single" w:sz="4" w:space="1" w:color="auto"/>
        </w:pBdr>
        <w:rPr>
          <w:sz w:val="2"/>
          <w:szCs w:val="2"/>
        </w:rPr>
      </w:pPr>
    </w:p>
    <w:p w:rsidR="00A86945" w:rsidRPr="00683550" w:rsidRDefault="00A86945" w:rsidP="00A86945">
      <w:r w:rsidRPr="00683550">
        <w:t xml:space="preserve">и приглашенного собственника помещения или уполномоченного им лица  </w:t>
      </w:r>
    </w:p>
    <w:p w:rsidR="00A86945" w:rsidRPr="00683550" w:rsidRDefault="00A86945" w:rsidP="00A8694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86945" w:rsidRPr="00683550" w:rsidRDefault="00A86945" w:rsidP="00A86945"/>
    <w:p w:rsidR="00A86945" w:rsidRPr="00683550" w:rsidRDefault="00A86945" w:rsidP="00A8694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86945" w:rsidRDefault="00A86945" w:rsidP="00A86945"/>
    <w:p w:rsidR="00A86945" w:rsidRPr="00683550" w:rsidRDefault="00A86945" w:rsidP="00A86945">
      <w:r w:rsidRPr="00683550">
        <w:t xml:space="preserve">по результатам рассмотренных документов  </w:t>
      </w:r>
    </w:p>
    <w:p w:rsidR="00A86945" w:rsidRPr="00683550" w:rsidRDefault="00A86945" w:rsidP="00A8694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A86945" w:rsidRPr="00683550" w:rsidRDefault="00A86945" w:rsidP="00A86945"/>
    <w:p w:rsidR="00A86945" w:rsidRPr="00683550" w:rsidRDefault="00A86945" w:rsidP="00A86945">
      <w:pPr>
        <w:pBdr>
          <w:top w:val="single" w:sz="4" w:space="1" w:color="auto"/>
        </w:pBdr>
        <w:rPr>
          <w:sz w:val="2"/>
          <w:szCs w:val="2"/>
        </w:rPr>
      </w:pPr>
    </w:p>
    <w:p w:rsidR="00A86945" w:rsidRPr="00683550" w:rsidRDefault="00A86945" w:rsidP="00A8694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A86945" w:rsidRPr="00683550" w:rsidRDefault="00A86945" w:rsidP="00A86945"/>
    <w:p w:rsidR="00A86945" w:rsidRPr="00683550" w:rsidRDefault="00A86945" w:rsidP="00A86945"/>
    <w:p w:rsidR="00A86945" w:rsidRPr="00683550" w:rsidRDefault="00A86945" w:rsidP="00A86945">
      <w:pPr>
        <w:pBdr>
          <w:top w:val="single" w:sz="4" w:space="1" w:color="auto"/>
        </w:pBdr>
        <w:rPr>
          <w:sz w:val="2"/>
          <w:szCs w:val="2"/>
        </w:rPr>
      </w:pPr>
    </w:p>
    <w:p w:rsidR="00A86945" w:rsidRPr="00683550" w:rsidRDefault="00A86945" w:rsidP="00A86945"/>
    <w:p w:rsidR="00A86945" w:rsidRPr="00683550" w:rsidRDefault="00A86945" w:rsidP="00A86945">
      <w:pPr>
        <w:pBdr>
          <w:top w:val="single" w:sz="4" w:space="1" w:color="auto"/>
        </w:pBdr>
        <w:rPr>
          <w:sz w:val="2"/>
          <w:szCs w:val="2"/>
        </w:rPr>
      </w:pPr>
    </w:p>
    <w:p w:rsidR="00A86945" w:rsidRPr="00683550" w:rsidRDefault="00A86945" w:rsidP="00A86945"/>
    <w:p w:rsidR="00A86945" w:rsidRPr="008531BC" w:rsidRDefault="00A86945" w:rsidP="00A8694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86945" w:rsidRPr="00683550" w:rsidRDefault="00A86945" w:rsidP="00A86945">
      <w:pPr>
        <w:pBdr>
          <w:top w:val="single" w:sz="4" w:space="1" w:color="auto"/>
        </w:pBdr>
        <w:rPr>
          <w:sz w:val="2"/>
          <w:szCs w:val="2"/>
        </w:rPr>
      </w:pPr>
    </w:p>
    <w:p w:rsidR="00A86945" w:rsidRDefault="00A86945" w:rsidP="00A86945">
      <w:pPr>
        <w:keepNext/>
      </w:pPr>
      <w:r w:rsidRPr="00683550">
        <w:t xml:space="preserve">приняла заключение о  </w:t>
      </w:r>
    </w:p>
    <w:p w:rsidR="00A86945" w:rsidRDefault="00A86945" w:rsidP="00A86945">
      <w:pPr>
        <w:keepNext/>
      </w:pPr>
      <w:r>
        <w:t>__________________________________________________</w:t>
      </w:r>
      <w:r w:rsidR="00947277">
        <w:t>___________________________</w:t>
      </w:r>
    </w:p>
    <w:p w:rsidR="00A86945" w:rsidRDefault="00A86945" w:rsidP="00A86945">
      <w:pPr>
        <w:keepNext/>
      </w:pPr>
      <w:r>
        <w:t>__________________________________________________</w:t>
      </w:r>
      <w:r w:rsidR="00947277">
        <w:t>___________________________</w:t>
      </w:r>
    </w:p>
    <w:p w:rsidR="00A86945" w:rsidRPr="00683550" w:rsidRDefault="00A86945" w:rsidP="00A86945">
      <w:pPr>
        <w:keepNext/>
      </w:pPr>
    </w:p>
    <w:p w:rsidR="00A86945" w:rsidRDefault="00A86945" w:rsidP="00A86945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A86945" w:rsidRPr="00683550" w:rsidRDefault="00A86945" w:rsidP="00A86945">
      <w:pPr>
        <w:spacing w:before="480"/>
      </w:pPr>
      <w:r w:rsidRPr="00683550">
        <w:t>Приложение к заключению:</w:t>
      </w:r>
    </w:p>
    <w:p w:rsidR="00A86945" w:rsidRPr="00683550" w:rsidRDefault="00A86945" w:rsidP="00A86945">
      <w:r w:rsidRPr="00683550">
        <w:t>а) перечень рассмотренных документов;</w:t>
      </w:r>
    </w:p>
    <w:p w:rsidR="00A86945" w:rsidRPr="00683550" w:rsidRDefault="00A86945" w:rsidP="00A86945">
      <w:r w:rsidRPr="00683550">
        <w:t>б) акт обследования помещения (в случае проведения обследования);</w:t>
      </w:r>
    </w:p>
    <w:p w:rsidR="00A86945" w:rsidRPr="00683550" w:rsidRDefault="00A86945" w:rsidP="00A86945">
      <w:r w:rsidRPr="00683550">
        <w:t>в) перечень других материалов, запрошенных межведомственной комиссией;</w:t>
      </w:r>
    </w:p>
    <w:p w:rsidR="00A86945" w:rsidRPr="00683550" w:rsidRDefault="00A86945" w:rsidP="00A86945">
      <w:r w:rsidRPr="00683550">
        <w:t>г) особое мнение членов межведомственной комиссии:</w:t>
      </w:r>
    </w:p>
    <w:p w:rsidR="00A86945" w:rsidRPr="00683550" w:rsidRDefault="00A86945" w:rsidP="00A86945">
      <w:pPr>
        <w:tabs>
          <w:tab w:val="right" w:pos="9923"/>
        </w:tabs>
      </w:pPr>
      <w:r w:rsidRPr="00683550">
        <w:tab/>
        <w:t>.</w:t>
      </w:r>
    </w:p>
    <w:p w:rsidR="00A86945" w:rsidRPr="00683550" w:rsidRDefault="00A86945" w:rsidP="00A8694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86945" w:rsidRPr="00683550" w:rsidRDefault="00A86945" w:rsidP="00A8694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86945" w:rsidRPr="00683550" w:rsidTr="006E78F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86945" w:rsidRPr="00683550" w:rsidTr="006E78F0">
        <w:trPr>
          <w:cantSplit/>
        </w:trPr>
        <w:tc>
          <w:tcPr>
            <w:tcW w:w="2835" w:type="dxa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86945" w:rsidRPr="00683550" w:rsidRDefault="00A86945" w:rsidP="00A8694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86945" w:rsidRPr="00683550" w:rsidTr="006E78F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86945" w:rsidRPr="00683550" w:rsidTr="006E78F0">
        <w:trPr>
          <w:cantSplit/>
        </w:trPr>
        <w:tc>
          <w:tcPr>
            <w:tcW w:w="2835" w:type="dxa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86945" w:rsidRPr="00683550" w:rsidRDefault="00A86945" w:rsidP="00A8694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A86945" w:rsidRPr="00683550" w:rsidTr="006E78F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86945" w:rsidRPr="00683550" w:rsidTr="006E78F0">
        <w:trPr>
          <w:cantSplit/>
        </w:trPr>
        <w:tc>
          <w:tcPr>
            <w:tcW w:w="2835" w:type="dxa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86945" w:rsidRPr="00683550" w:rsidRDefault="00A86945" w:rsidP="006E78F0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86945" w:rsidRPr="00683550" w:rsidRDefault="00A86945" w:rsidP="00A86945"/>
    <w:p w:rsidR="00A86945" w:rsidRPr="00683550" w:rsidRDefault="00A86945" w:rsidP="00A8694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A86945" w:rsidRPr="00683550" w:rsidRDefault="00A86945" w:rsidP="00A86945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A86945" w:rsidRPr="00683550" w:rsidRDefault="00A86945" w:rsidP="00A86945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A86945" w:rsidRPr="00683550" w:rsidRDefault="00A86945" w:rsidP="00A86945">
      <w:pPr>
        <w:pStyle w:val="a4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86945" w:rsidRPr="00683550" w:rsidRDefault="00A86945" w:rsidP="00A86945">
      <w:pPr>
        <w:pStyle w:val="a4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86945" w:rsidRPr="00683550" w:rsidRDefault="00A86945" w:rsidP="00A86945">
      <w:pPr>
        <w:pStyle w:val="a4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A86945" w:rsidRPr="00683550" w:rsidRDefault="00A86945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A86945" w:rsidRPr="00947277" w:rsidRDefault="00947277" w:rsidP="00A869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947277">
        <w:t>Калитинское сельское поселение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86945" w:rsidRPr="00683550" w:rsidRDefault="00A86945" w:rsidP="00A86945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6945" w:rsidRPr="00683550" w:rsidRDefault="00A86945" w:rsidP="00A86945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A86945" w:rsidRPr="00683550" w:rsidRDefault="00A86945" w:rsidP="00A86945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86945" w:rsidRPr="00683550" w:rsidRDefault="00A86945" w:rsidP="00A8694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86945" w:rsidRPr="007A34D5" w:rsidRDefault="00A86945" w:rsidP="00A86945">
      <w:pPr>
        <w:pStyle w:val="HTML"/>
        <w:widowControl w:val="0"/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945" w:rsidRDefault="00A86945"/>
    <w:sectPr w:rsidR="00A86945" w:rsidSect="00947277">
      <w:footerReference w:type="default" r:id="rId1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55" w:rsidRDefault="00C03C55" w:rsidP="00947277">
      <w:r>
        <w:separator/>
      </w:r>
    </w:p>
  </w:endnote>
  <w:endnote w:type="continuationSeparator" w:id="0">
    <w:p w:rsidR="00C03C55" w:rsidRDefault="00C03C55" w:rsidP="0094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490"/>
      <w:docPartObj>
        <w:docPartGallery w:val="Page Numbers (Bottom of Page)"/>
        <w:docPartUnique/>
      </w:docPartObj>
    </w:sdtPr>
    <w:sdtContent>
      <w:p w:rsidR="00947277" w:rsidRDefault="00947277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7277" w:rsidRDefault="009472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55" w:rsidRDefault="00C03C55" w:rsidP="00947277">
      <w:r>
        <w:separator/>
      </w:r>
    </w:p>
  </w:footnote>
  <w:footnote w:type="continuationSeparator" w:id="0">
    <w:p w:rsidR="00C03C55" w:rsidRDefault="00C03C55" w:rsidP="00947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45"/>
    <w:rsid w:val="001104C3"/>
    <w:rsid w:val="006E78F0"/>
    <w:rsid w:val="00947277"/>
    <w:rsid w:val="00A32AC2"/>
    <w:rsid w:val="00A86945"/>
    <w:rsid w:val="00C0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945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869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6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A86945"/>
    <w:pPr>
      <w:ind w:left="720"/>
      <w:contextualSpacing/>
    </w:pPr>
  </w:style>
  <w:style w:type="paragraph" w:customStyle="1" w:styleId="ConsPlusTitle">
    <w:name w:val="ConsPlusTitle"/>
    <w:rsid w:val="00A86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6945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694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69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A8694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869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8694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869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A869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869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869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69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A86945"/>
  </w:style>
  <w:style w:type="paragraph" w:styleId="af">
    <w:name w:val="Normal (Web)"/>
    <w:basedOn w:val="a"/>
    <w:rsid w:val="00A86945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A86945"/>
    <w:rPr>
      <w:b/>
      <w:bCs/>
    </w:rPr>
  </w:style>
  <w:style w:type="paragraph" w:customStyle="1" w:styleId="consplusnormal0">
    <w:name w:val="consplusnormal0"/>
    <w:basedOn w:val="a"/>
    <w:rsid w:val="00A86945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uiPriority w:val="99"/>
    <w:unhideWhenUsed/>
    <w:rsid w:val="00A869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A86945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A86945"/>
    <w:rPr>
      <w:rFonts w:cs="Times New Roman"/>
      <w:vertAlign w:val="superscript"/>
    </w:rPr>
  </w:style>
  <w:style w:type="character" w:styleId="af4">
    <w:name w:val="annotation reference"/>
    <w:rsid w:val="00A86945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694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A8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A86945"/>
    <w:rPr>
      <w:b/>
      <w:bCs/>
    </w:rPr>
  </w:style>
  <w:style w:type="character" w:customStyle="1" w:styleId="af8">
    <w:name w:val="Тема примечания Знак"/>
    <w:basedOn w:val="af6"/>
    <w:link w:val="af7"/>
    <w:rsid w:val="00A86945"/>
    <w:rPr>
      <w:b/>
      <w:bCs/>
    </w:rPr>
  </w:style>
  <w:style w:type="character" w:styleId="af9">
    <w:name w:val="Hyperlink"/>
    <w:uiPriority w:val="99"/>
    <w:rsid w:val="00A86945"/>
    <w:rPr>
      <w:color w:val="0000FF"/>
      <w:u w:val="single"/>
    </w:rPr>
  </w:style>
  <w:style w:type="paragraph" w:customStyle="1" w:styleId="normd">
    <w:name w:val="normd"/>
    <w:basedOn w:val="a"/>
    <w:rsid w:val="00A8694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86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69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_"/>
    <w:link w:val="11"/>
    <w:rsid w:val="00A86945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A86945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b">
    <w:name w:val="Название проектного документа"/>
    <w:basedOn w:val="a"/>
    <w:rsid w:val="00A8694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90;&#1080;&#1085;&#1089;&#1082;&#1086;&#1077;.&#1088;&#1092;" TargetMode="Externa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3;&#1080;&#1090;&#1080;&#1085;&#1089;&#1082;&#1086;&#1077;.&#1088;&#1092;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11080</Words>
  <Characters>63159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2023-10-10T14:03:00Z</dcterms:created>
  <dcterms:modified xsi:type="dcterms:W3CDTF">2023-10-11T05:43:00Z</dcterms:modified>
</cp:coreProperties>
</file>