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87" w:rsidRDefault="00051D87" w:rsidP="0005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051D87" w:rsidRDefault="00051D87" w:rsidP="0005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</w:p>
    <w:p w:rsidR="00051D87" w:rsidRDefault="00051D87" w:rsidP="0005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051D87" w:rsidRDefault="00051D87" w:rsidP="0005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51D87" w:rsidRDefault="00051D87" w:rsidP="0005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D87" w:rsidRDefault="00051D87" w:rsidP="0005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51D87" w:rsidRDefault="00051D87" w:rsidP="0005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051D87" w:rsidRDefault="00051D87" w:rsidP="00051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1D87" w:rsidRDefault="00051D87" w:rsidP="0005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(третье заседание первого созыва)</w:t>
      </w:r>
    </w:p>
    <w:p w:rsidR="00051D87" w:rsidRDefault="00051D87" w:rsidP="0005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ноября 2019 года № 23</w:t>
      </w:r>
    </w:p>
    <w:p w:rsidR="00051D87" w:rsidRDefault="00051D87" w:rsidP="00051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D87" w:rsidRDefault="00051D87" w:rsidP="00051D8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перечне муниципальных должностей в органах местного самоуправления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фонда оплаты труда муниципальных должностей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051D87" w:rsidRDefault="00051D87" w:rsidP="00051D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1D87" w:rsidRDefault="00051D87" w:rsidP="00051D87">
      <w:pPr>
        <w:pStyle w:val="a3"/>
        <w:tabs>
          <w:tab w:val="left" w:pos="9356"/>
        </w:tabs>
        <w:ind w:right="-285" w:firstLine="720"/>
        <w:rPr>
          <w:sz w:val="28"/>
          <w:szCs w:val="28"/>
        </w:rPr>
      </w:pPr>
      <w:r>
        <w:rPr>
          <w:sz w:val="28"/>
          <w:szCs w:val="28"/>
        </w:rPr>
        <w:t xml:space="preserve">В целях систематизации действующих муниципальных правовых актов, на основании Федерального закона  от 06.10.2003  № 131-ФЗ «Об общих принципах организации местного самоуправления в Российской Федерации» совет депутатов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 РЕШИЛ:</w:t>
      </w:r>
    </w:p>
    <w:p w:rsidR="00051D87" w:rsidRDefault="00051D87" w:rsidP="00051D87">
      <w:pPr>
        <w:pStyle w:val="ConsNonformat"/>
        <w:widowControl/>
        <w:tabs>
          <w:tab w:val="left" w:pos="935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051D87" w:rsidRDefault="00051D87" w:rsidP="00051D87">
      <w:pPr>
        <w:pStyle w:val="ConsNormal"/>
        <w:widowControl/>
        <w:tabs>
          <w:tab w:val="left" w:pos="935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муниципальных должностей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(приложение 1).</w:t>
      </w:r>
    </w:p>
    <w:p w:rsidR="00051D87" w:rsidRDefault="00051D87" w:rsidP="00051D87">
      <w:pPr>
        <w:pStyle w:val="ConsNormal"/>
        <w:widowControl/>
        <w:tabs>
          <w:tab w:val="left" w:pos="935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порядок формирования фонда оплаты труда лиц, замещающих муниципальные должности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(приложение 2).</w:t>
      </w:r>
    </w:p>
    <w:p w:rsidR="00051D87" w:rsidRDefault="00051D87" w:rsidP="00051D87">
      <w:pPr>
        <w:pStyle w:val="ConsNormal"/>
        <w:widowControl/>
        <w:tabs>
          <w:tab w:val="left" w:pos="935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01 января 2020 года.</w:t>
      </w:r>
    </w:p>
    <w:p w:rsidR="00051D87" w:rsidRDefault="00051D87" w:rsidP="00051D87">
      <w:pPr>
        <w:pStyle w:val="ConsNormal"/>
        <w:widowControl/>
        <w:tabs>
          <w:tab w:val="left" w:pos="9356"/>
        </w:tabs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D87" w:rsidRDefault="00051D87" w:rsidP="00051D87">
      <w:pPr>
        <w:pStyle w:val="ConsNormal"/>
        <w:widowControl/>
        <w:tabs>
          <w:tab w:val="left" w:pos="9356"/>
        </w:tabs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D87" w:rsidRDefault="00051D87" w:rsidP="00051D87">
      <w:pPr>
        <w:pStyle w:val="ConsNormal"/>
        <w:widowControl/>
        <w:tabs>
          <w:tab w:val="left" w:pos="9356"/>
        </w:tabs>
        <w:ind w:right="-56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D87" w:rsidRDefault="00051D87" w:rsidP="00051D8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Калитинского сельского поселения                                    Т.А. Тихонова</w:t>
      </w:r>
    </w:p>
    <w:p w:rsidR="00051D87" w:rsidRDefault="00051D87" w:rsidP="00051D8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51D87" w:rsidRDefault="00051D87" w:rsidP="00051D8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51D87" w:rsidRDefault="00051D87" w:rsidP="00051D8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051D87" w:rsidRDefault="00051D87" w:rsidP="00051D87">
      <w:pPr>
        <w:pStyle w:val="ConsNormal"/>
        <w:widowControl/>
        <w:tabs>
          <w:tab w:val="left" w:pos="9356"/>
        </w:tabs>
        <w:ind w:right="-56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D87" w:rsidRDefault="00051D87" w:rsidP="00051D87">
      <w:pPr>
        <w:pStyle w:val="ConsNormal"/>
        <w:widowControl/>
        <w:tabs>
          <w:tab w:val="left" w:pos="9356"/>
        </w:tabs>
        <w:ind w:right="-56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051D87" w:rsidRDefault="00051D87" w:rsidP="00051D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21.11.2019 № 23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051D87" w:rsidRDefault="00051D87" w:rsidP="00051D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1D87" w:rsidRDefault="00051D87" w:rsidP="00051D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051D87" w:rsidRDefault="00051D87" w:rsidP="00051D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1D87" w:rsidRPr="00051D87" w:rsidRDefault="00051D87" w:rsidP="00051D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D87">
        <w:rPr>
          <w:rFonts w:ascii="Times New Roman" w:hAnsi="Times New Roman" w:cs="Times New Roman"/>
          <w:sz w:val="28"/>
          <w:szCs w:val="28"/>
        </w:rPr>
        <w:t>ПЕРЕЧЕНЬ</w:t>
      </w:r>
    </w:p>
    <w:p w:rsidR="00051D87" w:rsidRPr="00051D87" w:rsidRDefault="00051D87" w:rsidP="00051D87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8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 должностей </w:t>
      </w:r>
    </w:p>
    <w:p w:rsidR="00051D87" w:rsidRPr="00051D87" w:rsidRDefault="00051D87" w:rsidP="00051D87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D8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 w:rsidRPr="00051D87">
        <w:rPr>
          <w:rFonts w:ascii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051D8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051D87" w:rsidRPr="00051D87" w:rsidRDefault="00051D87" w:rsidP="00051D87">
      <w:pPr>
        <w:pStyle w:val="ConsNormal"/>
        <w:widowControl/>
        <w:ind w:right="-566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095"/>
        <w:gridCol w:w="3260"/>
      </w:tblGrid>
      <w:tr w:rsidR="00051D87" w:rsidTr="00051D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7" w:rsidRDefault="00051D87">
            <w:pPr>
              <w:pStyle w:val="ConsNormal"/>
              <w:widowControl/>
              <w:spacing w:line="276" w:lineRule="auto"/>
              <w:ind w:right="-56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87" w:rsidRDefault="00051D87">
            <w:pPr>
              <w:pStyle w:val="ConsNormal"/>
              <w:widowControl/>
              <w:spacing w:line="276" w:lineRule="auto"/>
              <w:ind w:left="33" w:righ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7" w:rsidRDefault="00051D87">
            <w:pPr>
              <w:pStyle w:val="ConsNormal"/>
              <w:widowControl/>
              <w:spacing w:line="276" w:lineRule="auto"/>
              <w:ind w:left="33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87" w:rsidTr="00051D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7" w:rsidRDefault="00051D87">
            <w:pPr>
              <w:pStyle w:val="ConsNormal"/>
              <w:widowControl/>
              <w:spacing w:line="276" w:lineRule="auto"/>
              <w:ind w:right="-56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87" w:rsidRDefault="00051D87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Муниципальные должности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87" w:rsidRDefault="00051D87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ежемесячного</w:t>
            </w:r>
            <w:proofErr w:type="gramEnd"/>
          </w:p>
          <w:p w:rsidR="00051D87" w:rsidRDefault="00051D87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денежного вознаграждения, рублей</w:t>
            </w:r>
          </w:p>
        </w:tc>
      </w:tr>
      <w:tr w:rsidR="00051D87" w:rsidTr="00051D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7" w:rsidRDefault="00051D87">
            <w:pPr>
              <w:pStyle w:val="ConsNormal"/>
              <w:widowControl/>
              <w:spacing w:line="276" w:lineRule="auto"/>
              <w:ind w:right="-56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87" w:rsidRDefault="00051D87">
            <w:pPr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87" w:rsidRDefault="00051D87">
            <w:pPr>
              <w:ind w:left="33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23 198</w:t>
            </w:r>
          </w:p>
        </w:tc>
      </w:tr>
    </w:tbl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5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51D87" w:rsidRDefault="00051D87" w:rsidP="00051D87">
      <w:pPr>
        <w:pStyle w:val="ConsNormal"/>
        <w:widowControl/>
        <w:ind w:left="567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51D87" w:rsidRDefault="00051D87" w:rsidP="00051D87">
      <w:pPr>
        <w:pStyle w:val="ConsNormal"/>
        <w:widowControl/>
        <w:ind w:left="5670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Калитинского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051D87" w:rsidRDefault="00051D87" w:rsidP="00051D87">
      <w:pPr>
        <w:pStyle w:val="ConsTitle"/>
        <w:widowControl/>
        <w:ind w:right="-284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21.11.2019 № 23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051D87" w:rsidRDefault="00051D87" w:rsidP="00051D87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left="5670"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51D87" w:rsidRDefault="00051D87" w:rsidP="00051D87">
      <w:pPr>
        <w:pStyle w:val="ConsTitle"/>
        <w:widowControl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фонда оплаты труда лиц, замещающих муниципальные </w:t>
      </w:r>
    </w:p>
    <w:p w:rsidR="00051D87" w:rsidRDefault="00051D87" w:rsidP="00051D87">
      <w:pPr>
        <w:pStyle w:val="ConsTitle"/>
        <w:widowControl/>
        <w:ind w:right="-284"/>
        <w:jc w:val="center"/>
        <w:rPr>
          <w:rFonts w:ascii="Times New Roman" w:hAnsi="Times New Roman" w:cs="Times New Roman"/>
          <w:color w:val="00CC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color w:val="00CCFF"/>
          <w:sz w:val="28"/>
          <w:szCs w:val="28"/>
        </w:rPr>
        <w:t xml:space="preserve"> </w:t>
      </w:r>
    </w:p>
    <w:p w:rsidR="00051D87" w:rsidRDefault="00051D87" w:rsidP="00051D87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D87" w:rsidRDefault="00051D87" w:rsidP="00051D87">
      <w:pPr>
        <w:pStyle w:val="ConsTitle"/>
        <w:widowControl/>
        <w:ind w:right="-28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формирования фонда оплаты труда лиц, замещающих муниципальные должности в органах местного самоуправления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Ленинградской области, разработан в соответствии с требованиями Федерального закона от 06.10.2003  № 131-ФЗ «Об общих принципах организации местного самоуправления в Российской Федерации». </w:t>
      </w:r>
    </w:p>
    <w:p w:rsidR="00051D87" w:rsidRDefault="00051D87" w:rsidP="00051D87">
      <w:pPr>
        <w:pStyle w:val="ConsTitle"/>
        <w:widowControl/>
        <w:ind w:right="-284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1D87" w:rsidRDefault="00051D87" w:rsidP="00051D87">
      <w:pPr>
        <w:pStyle w:val="ConsNormal"/>
        <w:widowControl/>
        <w:ind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051D87" w:rsidRDefault="00051D87" w:rsidP="00051D87">
      <w:pPr>
        <w:pStyle w:val="Con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1.Лица, оплата труда которых регулируется в соответствии с настоящим порядком, могут замещать следующие должности:</w:t>
      </w:r>
    </w:p>
    <w:p w:rsidR="00051D87" w:rsidRDefault="00051D87" w:rsidP="00051D87">
      <w:pPr>
        <w:pStyle w:val="ConsNormal"/>
        <w:widowControl/>
        <w:ind w:right="-284" w:firstLine="567"/>
        <w:jc w:val="both"/>
        <w:rPr>
          <w:rFonts w:ascii="Times New Roman" w:hAnsi="Times New Roman" w:cs="Times New Roman"/>
          <w:color w:val="00CC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должности, замещаемые лицами, избранными представительным органом местного самоуправления из своего состава, который формируется из депутатов представительных органов местного самоуправления Калитинского сельского поселения. </w:t>
      </w:r>
    </w:p>
    <w:p w:rsidR="00051D87" w:rsidRDefault="00051D87" w:rsidP="00051D87">
      <w:pPr>
        <w:pStyle w:val="Con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Фонд оплаты труда лиц, замещающих муниципальные должности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является составляющей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 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Денежное содержание лиц, замещающих муниципальные должности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(далее – муниципальные должности), выплачивается за счет средств местного бюджета.</w:t>
      </w:r>
    </w:p>
    <w:p w:rsidR="00051D87" w:rsidRDefault="00051D87" w:rsidP="00051D87">
      <w:pPr>
        <w:pStyle w:val="Con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для этих целей средств внебюджетных источников не допускается.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Состав денежного содержания лиц, замещающих муниципальные должности.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Денежное содержание лиц, замещающих муниципальные должности, состоит из ежемесячного денежного вознаграждения, а также ежемесячных и иных дополнительных выплат, предусмотренных муниципальными нормативными правовыми актами, принятыми представительным органом местного самоуправления.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color w:val="00CCFF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>
        <w:rPr>
          <w:rFonts w:ascii="Times New Roman" w:hAnsi="Times New Roman" w:cs="Times New Roman"/>
          <w:sz w:val="28"/>
          <w:szCs w:val="28"/>
        </w:rPr>
        <w:t xml:space="preserve"> Денежное вознаграждение лиц, замещающих муниципальные должности муниципального образования</w:t>
      </w:r>
      <w:r>
        <w:rPr>
          <w:rFonts w:ascii="Times New Roman" w:hAnsi="Times New Roman" w:cs="Times New Roman"/>
          <w:color w:val="00CC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color w:val="00CCFF"/>
          <w:sz w:val="28"/>
          <w:szCs w:val="28"/>
        </w:rPr>
        <w:t>.</w:t>
      </w:r>
    </w:p>
    <w:p w:rsidR="00051D87" w:rsidRDefault="00051D87" w:rsidP="00051D87">
      <w:pPr>
        <w:pStyle w:val="Con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1.Размеры ежемесячных денежных вознаграждений лиц, замещающих муниципальные должности, устанавливаются в соответствии с Перечнем муниципальных должностей муниципального образования</w:t>
      </w:r>
      <w:r>
        <w:rPr>
          <w:rFonts w:ascii="Times New Roman" w:hAnsi="Times New Roman" w:cs="Times New Roman"/>
          <w:color w:val="00CC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выплаты в составе денежного содержания лиц, замещающих муниципальные должности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Дополнительными выплатами в составе денежного содержания лиц, замещающих Муниципальные должности, являются:</w:t>
      </w:r>
    </w:p>
    <w:p w:rsidR="00051D87" w:rsidRDefault="00051D87" w:rsidP="00051D87">
      <w:pPr>
        <w:pStyle w:val="Con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процентная надбавка к денежному вознаграждению за особые условия работы, устанавливаемая представительным органом местного самоуправления;</w:t>
      </w:r>
    </w:p>
    <w:p w:rsidR="00051D87" w:rsidRDefault="00051D87" w:rsidP="00051D87">
      <w:pPr>
        <w:pStyle w:val="ConsNormal"/>
        <w:widowControl/>
        <w:tabs>
          <w:tab w:val="num" w:pos="0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размер ежемесячной процентной надбавки к денежному вознаграждению устанавливается в размере 50 процентов,</w:t>
      </w:r>
    </w:p>
    <w:p w:rsidR="00051D87" w:rsidRDefault="00051D87" w:rsidP="00051D87">
      <w:pPr>
        <w:pStyle w:val="ConsNormal"/>
        <w:widowControl/>
        <w:tabs>
          <w:tab w:val="num" w:pos="0"/>
        </w:tabs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размер ежемесячной процентной надбавки к денежному вознаграждению устанавливается в размере 200 процентов.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ежемесячное денежное поощрение, размер и порядок выплаты которого определяются представительным органом местного самоуправления;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премии за выполнение особо важных и сложных заданий, порядок выплаты которых определяется представительным органом местного самоуправления муниципального образования с учетом задач и функций органов местного самоуправления Калитинского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области;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единовременная выплата при предоставлении ежегодного оплачиваемого отпуска в размере двух ежемесячных денежных вознаграждений, выплачиваемая за счет средств фонда оплаты труда лиц, замещающих муниципальные должности. Единовременная выплата выплачивается на основании личного заявления.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выплаты, предусмотренные нормативными правовыми актами  представительного органа местного самоуправления.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color w:val="00CCFF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 xml:space="preserve"> Увеличение (индексация) ежемесячного денежного вознаграждения лиц, замещающих муниципальные должности.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Коэффициент увеличения (индексации) установленных настоящим Порядком размеров ежемесячного денежного вознаграждения по муниципальным должностям утверждается представительным органом в составе решения о бюджете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CC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на соответствующий финансовый год.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составлении проекта бюджета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CC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 на очередной финансовый год формирование фондов оплаты труда лиц, замещающих муниципальные должности, производится с учетом планируемого коэффициента увеличения (индексации) размеров ежемесячного денежного вознаграждения по муниципальным должностям на соответствующий финансовый год.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6.</w:t>
      </w:r>
      <w:r>
        <w:rPr>
          <w:rFonts w:ascii="Times New Roman" w:hAnsi="Times New Roman" w:cs="Times New Roman"/>
          <w:sz w:val="28"/>
          <w:szCs w:val="28"/>
        </w:rPr>
        <w:t xml:space="preserve"> Фонд оплаты труда лиц, замещающих муниципальные должности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формировании фонда оплаты труда лиц, замещающих муниципальные должности, сверх суммы средств, направляемых для выплаты ежемесячного денежного вознаграждения, предусматриваются следующие средства для выплаты (в расчете на год):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ежемесячной процентной надбавки к денежному вознаграждению за особые условия работы - в размере двадцати четырех ежемесячных денежных вознаграждений;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премий за выполнение особо важных и сложных заданий - в размере одного ежемесячного денежных вознаграждений;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ежемесячного денежного поощрения - в размере двенадцати ежемесячных денежных вознаграждений;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единовременной выплаты при предоставлении ежегодного оплачиваемого отпуска - в размере двух ежемесячных денежных вознаграждений.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Фонд оплаты труда лиц, замещающих муниципальные должности, формируется с учетом выплат, предусмотренных пунктом 1 настоящей статьи, а также с учетом средств на иные выплаты, предусмотренные муниципальными  правовыми актами.</w:t>
      </w:r>
    </w:p>
    <w:p w:rsidR="00051D87" w:rsidRDefault="00051D87" w:rsidP="00051D87">
      <w:pPr>
        <w:pStyle w:val="ConsNormal"/>
        <w:widowControl/>
        <w:ind w:right="-284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1D87" w:rsidRDefault="00051D87" w:rsidP="00051D87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D87" w:rsidRDefault="00051D87" w:rsidP="00051D87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D87" w:rsidRDefault="00051D87" w:rsidP="00051D87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1D87" w:rsidRDefault="00051D87" w:rsidP="00051D87"/>
    <w:p w:rsidR="001D280F" w:rsidRDefault="001D280F"/>
    <w:sectPr w:rsidR="001D280F" w:rsidSect="005F64F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B9" w:rsidRDefault="008672B9" w:rsidP="005F64FB">
      <w:pPr>
        <w:spacing w:after="0" w:line="240" w:lineRule="auto"/>
      </w:pPr>
      <w:r>
        <w:separator/>
      </w:r>
    </w:p>
  </w:endnote>
  <w:endnote w:type="continuationSeparator" w:id="0">
    <w:p w:rsidR="008672B9" w:rsidRDefault="008672B9" w:rsidP="005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865"/>
      <w:docPartObj>
        <w:docPartGallery w:val="Page Numbers (Bottom of Page)"/>
        <w:docPartUnique/>
      </w:docPartObj>
    </w:sdtPr>
    <w:sdtContent>
      <w:p w:rsidR="005F64FB" w:rsidRDefault="005F64FB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F64FB" w:rsidRDefault="005F64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B9" w:rsidRDefault="008672B9" w:rsidP="005F64FB">
      <w:pPr>
        <w:spacing w:after="0" w:line="240" w:lineRule="auto"/>
      </w:pPr>
      <w:r>
        <w:separator/>
      </w:r>
    </w:p>
  </w:footnote>
  <w:footnote w:type="continuationSeparator" w:id="0">
    <w:p w:rsidR="008672B9" w:rsidRDefault="008672B9" w:rsidP="005F6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D87"/>
    <w:rsid w:val="00051D87"/>
    <w:rsid w:val="001D280F"/>
    <w:rsid w:val="005F64FB"/>
    <w:rsid w:val="0086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51D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51D87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1D87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51D8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1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F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64F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F6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64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1204</Words>
  <Characters>6863</Characters>
  <Application>Microsoft Office Word</Application>
  <DocSecurity>0</DocSecurity>
  <Lines>57</Lines>
  <Paragraphs>16</Paragraphs>
  <ScaleCrop>false</ScaleCrop>
  <Company>Grizli777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2019-11-27T10:25:00Z</cp:lastPrinted>
  <dcterms:created xsi:type="dcterms:W3CDTF">2019-11-27T10:04:00Z</dcterms:created>
  <dcterms:modified xsi:type="dcterms:W3CDTF">2019-11-27T10:28:00Z</dcterms:modified>
</cp:coreProperties>
</file>